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33A7" w14:textId="73A18456" w:rsidR="008E4746" w:rsidRPr="00AB5F8F" w:rsidRDefault="004B4A44">
      <w:pPr>
        <w:pStyle w:val="Title"/>
        <w:rPr>
          <w:rFonts w:ascii="Arial" w:hAnsi="Arial"/>
          <w:bCs w:val="0"/>
          <w:sz w:val="20"/>
          <w:lang w:val="es-ES"/>
        </w:rPr>
      </w:pPr>
      <w:r>
        <w:rPr>
          <w:rFonts w:ascii="Arial" w:hAnsi="Arial"/>
          <w:bCs w:val="0"/>
          <w:sz w:val="20"/>
          <w:lang w:val="es-ES"/>
        </w:rPr>
        <w:t xml:space="preserve">MONTEFIORE </w:t>
      </w:r>
      <w:r w:rsidR="008E4746" w:rsidRPr="00AB5F8F">
        <w:rPr>
          <w:rFonts w:ascii="Arial" w:hAnsi="Arial"/>
          <w:bCs w:val="0"/>
          <w:sz w:val="20"/>
          <w:lang w:val="es-ES"/>
        </w:rPr>
        <w:t>LUKE’S CORNWALL</w:t>
      </w:r>
    </w:p>
    <w:p w14:paraId="6E436A47" w14:textId="77777777" w:rsidR="008E4746" w:rsidRPr="00AB5F8F" w:rsidRDefault="008E4746">
      <w:pPr>
        <w:jc w:val="center"/>
        <w:rPr>
          <w:rFonts w:ascii="Arial" w:hAnsi="Arial"/>
          <w:b/>
          <w:sz w:val="20"/>
          <w:lang w:val="es-ES"/>
        </w:rPr>
      </w:pPr>
      <w:r w:rsidRPr="00AB5F8F">
        <w:rPr>
          <w:rFonts w:ascii="Arial" w:hAnsi="Arial"/>
          <w:b/>
          <w:sz w:val="20"/>
          <w:lang w:val="es-ES"/>
        </w:rPr>
        <w:t>Cuentas del paciente</w:t>
      </w:r>
    </w:p>
    <w:p w14:paraId="2B51131D" w14:textId="77777777" w:rsidR="008E4746" w:rsidRPr="00AB5F8F" w:rsidRDefault="008E4746">
      <w:pPr>
        <w:pStyle w:val="Heading2"/>
        <w:rPr>
          <w:lang w:val="es-ES"/>
        </w:rPr>
      </w:pPr>
      <w:r w:rsidRPr="00AB5F8F">
        <w:rPr>
          <w:lang w:val="es-ES"/>
        </w:rPr>
        <w:t>Política y manual de procedimiento</w:t>
      </w:r>
    </w:p>
    <w:p w14:paraId="605719F9" w14:textId="77777777" w:rsidR="008E4746" w:rsidRPr="00AB5F8F" w:rsidRDefault="008E4746">
      <w:pPr>
        <w:jc w:val="center"/>
        <w:rPr>
          <w:rFonts w:ascii="Arial" w:hAnsi="Arial"/>
          <w:b/>
          <w:sz w:val="20"/>
          <w:lang w:val="es-ES"/>
        </w:rPr>
      </w:pPr>
    </w:p>
    <w:p w14:paraId="088C4884" w14:textId="77777777" w:rsidR="008E4746" w:rsidRPr="00AB5F8F" w:rsidRDefault="008E4746">
      <w:pPr>
        <w:rPr>
          <w:rFonts w:ascii="Arial" w:hAnsi="Arial"/>
          <w:b/>
          <w:sz w:val="20"/>
          <w:lang w:val="es-ES"/>
        </w:rPr>
      </w:pPr>
    </w:p>
    <w:p w14:paraId="08C6A861" w14:textId="52248736" w:rsidR="008E4746" w:rsidRPr="00AB5F8F" w:rsidRDefault="008E4746">
      <w:pPr>
        <w:rPr>
          <w:rFonts w:ascii="Arial" w:hAnsi="Arial"/>
          <w:lang w:val="es-ES"/>
        </w:rPr>
      </w:pPr>
      <w:r w:rsidRPr="00AB5F8F">
        <w:rPr>
          <w:rFonts w:ascii="Arial" w:hAnsi="Arial"/>
          <w:b/>
          <w:sz w:val="20"/>
          <w:lang w:val="es-ES"/>
        </w:rPr>
        <w:t>Departamento</w:t>
      </w:r>
      <w:r w:rsidR="00AB5F8F" w:rsidRPr="00AB5F8F">
        <w:rPr>
          <w:rFonts w:ascii="Arial" w:hAnsi="Arial"/>
          <w:b/>
          <w:sz w:val="20"/>
          <w:lang w:val="es-ES"/>
        </w:rPr>
        <w:t>:</w:t>
      </w:r>
      <w:r w:rsidR="00AB5F8F" w:rsidRPr="00AB5F8F">
        <w:rPr>
          <w:rFonts w:ascii="Arial" w:hAnsi="Arial"/>
          <w:sz w:val="20"/>
          <w:lang w:val="es-ES"/>
        </w:rPr>
        <w:t xml:space="preserve"> Créditos</w:t>
      </w:r>
      <w:r w:rsidRPr="00AB5F8F">
        <w:rPr>
          <w:rFonts w:ascii="Arial" w:hAnsi="Arial"/>
          <w:sz w:val="20"/>
          <w:lang w:val="es-ES"/>
        </w:rPr>
        <w:t xml:space="preserve"> y cobranzas                           </w:t>
      </w:r>
      <w:r w:rsidRPr="00AB5F8F">
        <w:rPr>
          <w:rFonts w:ascii="Arial" w:hAnsi="Arial"/>
          <w:sz w:val="20"/>
          <w:lang w:val="es-ES"/>
        </w:rPr>
        <w:tab/>
      </w:r>
      <w:r w:rsidRPr="00AB5F8F">
        <w:rPr>
          <w:rFonts w:ascii="Arial" w:hAnsi="Arial"/>
          <w:sz w:val="20"/>
          <w:lang w:val="es-ES"/>
        </w:rPr>
        <w:tab/>
      </w:r>
      <w:r w:rsidRPr="00AB5F8F">
        <w:rPr>
          <w:rFonts w:ascii="Arial" w:hAnsi="Arial"/>
          <w:b/>
          <w:sz w:val="20"/>
          <w:lang w:val="es-ES"/>
        </w:rPr>
        <w:t>Política N.</w:t>
      </w:r>
      <w:r w:rsidRPr="00DB10DB">
        <w:rPr>
          <w:rFonts w:ascii="Arial" w:hAnsi="Arial"/>
          <w:b/>
          <w:sz w:val="20"/>
          <w:lang w:val="es-ES"/>
        </w:rPr>
        <w:t>º</w:t>
      </w:r>
      <w:r w:rsidRPr="00AB5F8F">
        <w:rPr>
          <w:rFonts w:ascii="Arial" w:hAnsi="Arial"/>
          <w:b/>
          <w:sz w:val="20"/>
          <w:lang w:val="es-ES"/>
        </w:rPr>
        <w:t xml:space="preserve">:  </w:t>
      </w:r>
      <w:r w:rsidRPr="00AB5F8F">
        <w:rPr>
          <w:rFonts w:ascii="Arial" w:hAnsi="Arial"/>
          <w:sz w:val="20"/>
          <w:lang w:val="es-ES"/>
        </w:rPr>
        <w:t>CD - 008</w:t>
      </w:r>
    </w:p>
    <w:p w14:paraId="48363C19" w14:textId="77777777" w:rsidR="008E4746" w:rsidRPr="00AB5F8F" w:rsidRDefault="008E4746">
      <w:pPr>
        <w:rPr>
          <w:rFonts w:ascii="Arial" w:hAnsi="Arial"/>
          <w:color w:val="FF0000"/>
          <w:lang w:val="es-ES"/>
        </w:rPr>
      </w:pPr>
      <w:r w:rsidRPr="00AB5F8F">
        <w:rPr>
          <w:rFonts w:ascii="Arial" w:hAnsi="Arial"/>
          <w:b/>
          <w:sz w:val="20"/>
          <w:lang w:val="es-ES"/>
        </w:rPr>
        <w:t xml:space="preserve">Título:  </w:t>
      </w:r>
      <w:r w:rsidRPr="002B7E63">
        <w:rPr>
          <w:rFonts w:ascii="Arial" w:hAnsi="Arial"/>
          <w:sz w:val="20"/>
          <w:lang w:val="es-ES"/>
        </w:rPr>
        <w:t>Política de facturación y cobranza</w:t>
      </w:r>
    </w:p>
    <w:p w14:paraId="63AC6106" w14:textId="3C65EB59" w:rsidR="008E4746" w:rsidRPr="00AB5F8F" w:rsidRDefault="008E4746">
      <w:pPr>
        <w:rPr>
          <w:rFonts w:ascii="Arial" w:hAnsi="Arial"/>
          <w:highlight w:val="green"/>
          <w:lang w:val="es-ES"/>
        </w:rPr>
      </w:pPr>
      <w:r w:rsidRPr="00AB5F8F">
        <w:rPr>
          <w:rFonts w:ascii="Arial" w:hAnsi="Arial"/>
          <w:b/>
          <w:sz w:val="20"/>
          <w:lang w:val="es-ES"/>
        </w:rPr>
        <w:t>Fecha de emisión:</w:t>
      </w:r>
      <w:r w:rsidRPr="00AB5F8F">
        <w:rPr>
          <w:rFonts w:ascii="Arial" w:hAnsi="Arial"/>
          <w:sz w:val="20"/>
          <w:lang w:val="es-ES"/>
        </w:rPr>
        <w:t xml:space="preserve"> </w:t>
      </w:r>
      <w:r w:rsidRPr="004B4A44">
        <w:rPr>
          <w:rFonts w:ascii="Arial" w:hAnsi="Arial"/>
          <w:i/>
          <w:iCs/>
          <w:sz w:val="20"/>
          <w:lang w:val="es-ES"/>
        </w:rPr>
        <w:t>2/02</w:t>
      </w:r>
      <w:r w:rsidRPr="00AB5F8F">
        <w:rPr>
          <w:rFonts w:ascii="Arial" w:hAnsi="Arial"/>
          <w:sz w:val="20"/>
          <w:lang w:val="es-ES"/>
        </w:rPr>
        <w:tab/>
      </w:r>
      <w:r w:rsidRPr="00AB5F8F">
        <w:rPr>
          <w:rFonts w:ascii="Arial" w:hAnsi="Arial"/>
          <w:sz w:val="20"/>
          <w:lang w:val="es-ES"/>
        </w:rPr>
        <w:tab/>
      </w:r>
      <w:r w:rsidRPr="00AB5F8F">
        <w:rPr>
          <w:rFonts w:ascii="Arial" w:hAnsi="Arial"/>
          <w:sz w:val="20"/>
          <w:lang w:val="es-ES"/>
        </w:rPr>
        <w:tab/>
      </w:r>
      <w:r w:rsidRPr="00AB5F8F">
        <w:rPr>
          <w:rFonts w:ascii="Arial" w:hAnsi="Arial"/>
          <w:sz w:val="20"/>
          <w:lang w:val="es-ES"/>
        </w:rPr>
        <w:tab/>
        <w:t xml:space="preserve">       </w:t>
      </w:r>
      <w:r w:rsidR="002B7E63">
        <w:rPr>
          <w:rFonts w:ascii="Arial" w:hAnsi="Arial"/>
          <w:sz w:val="20"/>
          <w:lang w:val="es-ES"/>
        </w:rPr>
        <w:tab/>
      </w:r>
      <w:r w:rsidR="002B7E63" w:rsidRPr="00AB5F8F">
        <w:rPr>
          <w:rFonts w:ascii="Arial" w:hAnsi="Arial"/>
          <w:b/>
          <w:sz w:val="20"/>
          <w:lang w:val="es-ES"/>
        </w:rPr>
        <w:t>Referencia cruzada:</w:t>
      </w:r>
      <w:r w:rsidR="002B7E63" w:rsidRPr="00AB5F8F">
        <w:rPr>
          <w:rFonts w:ascii="Arial" w:hAnsi="Arial"/>
          <w:sz w:val="20"/>
          <w:lang w:val="es-ES"/>
        </w:rPr>
        <w:t xml:space="preserve">             </w:t>
      </w:r>
    </w:p>
    <w:p w14:paraId="67130A21" w14:textId="41607009" w:rsidR="008E4746" w:rsidRPr="00AB5F8F" w:rsidRDefault="008E4746">
      <w:pPr>
        <w:rPr>
          <w:rFonts w:ascii="Arial" w:hAnsi="Arial"/>
          <w:b/>
          <w:lang w:val="es-ES"/>
        </w:rPr>
      </w:pPr>
      <w:r w:rsidRPr="00AB5F8F">
        <w:rPr>
          <w:rFonts w:ascii="Arial" w:hAnsi="Arial"/>
          <w:b/>
          <w:sz w:val="20"/>
          <w:lang w:val="es-ES"/>
        </w:rPr>
        <w:t xml:space="preserve">Fecha de revisión: </w:t>
      </w:r>
      <w:r w:rsidR="004B4A44" w:rsidRPr="004B4A44">
        <w:rPr>
          <w:rFonts w:ascii="Arial" w:hAnsi="Arial"/>
          <w:i/>
          <w:iCs/>
          <w:sz w:val="20"/>
          <w:lang w:val="es-ES"/>
        </w:rPr>
        <w:t>06/19</w:t>
      </w:r>
      <w:r w:rsidR="00916B5B">
        <w:rPr>
          <w:rFonts w:ascii="Arial" w:hAnsi="Arial"/>
          <w:i/>
          <w:iCs/>
          <w:sz w:val="20"/>
          <w:lang w:val="es-ES"/>
        </w:rPr>
        <w:t>, 10/20</w:t>
      </w:r>
      <w:bookmarkStart w:id="0" w:name="_GoBack"/>
      <w:bookmarkEnd w:id="0"/>
      <w:r w:rsidRPr="00AB5F8F">
        <w:rPr>
          <w:rFonts w:ascii="Arial" w:hAnsi="Arial"/>
          <w:b/>
          <w:color w:val="FF0000"/>
          <w:sz w:val="20"/>
          <w:lang w:val="es-ES"/>
        </w:rPr>
        <w:t xml:space="preserve">                                                       </w:t>
      </w:r>
    </w:p>
    <w:p w14:paraId="607883DB" w14:textId="380926C3" w:rsidR="008E4746" w:rsidRPr="00AB5F8F" w:rsidRDefault="008E4746">
      <w:pPr>
        <w:rPr>
          <w:rFonts w:ascii="Arial" w:hAnsi="Arial"/>
          <w:b/>
          <w:lang w:val="es-ES"/>
        </w:rPr>
      </w:pPr>
      <w:r w:rsidRPr="00AB5F8F">
        <w:rPr>
          <w:rFonts w:ascii="Arial" w:hAnsi="Arial"/>
          <w:b/>
          <w:sz w:val="20"/>
          <w:lang w:val="es-ES"/>
        </w:rPr>
        <w:t xml:space="preserve">Fecha de modificación: </w:t>
      </w:r>
      <w:r w:rsidR="005B3700" w:rsidRPr="004B4A44">
        <w:rPr>
          <w:rFonts w:ascii="Arial" w:hAnsi="Arial"/>
          <w:i/>
          <w:iCs/>
          <w:sz w:val="20"/>
          <w:lang w:val="es-ES"/>
        </w:rPr>
        <w:t>11/18</w:t>
      </w:r>
      <w:r w:rsidRPr="00AB5F8F">
        <w:rPr>
          <w:rFonts w:ascii="Arial" w:hAnsi="Arial"/>
          <w:sz w:val="20"/>
          <w:lang w:val="es-ES"/>
        </w:rPr>
        <w:t xml:space="preserve">                                                            </w:t>
      </w:r>
    </w:p>
    <w:p w14:paraId="0A6749AB" w14:textId="4C3E9709" w:rsidR="008E4746" w:rsidRPr="00AB5F8F" w:rsidRDefault="008E4746">
      <w:pPr>
        <w:rPr>
          <w:rFonts w:ascii="Arial" w:hAnsi="Arial"/>
          <w:lang w:val="es-ES"/>
        </w:rPr>
      </w:pPr>
      <w:r w:rsidRPr="00AB5F8F">
        <w:rPr>
          <w:rFonts w:ascii="Arial" w:hAnsi="Arial"/>
          <w:b/>
          <w:sz w:val="20"/>
          <w:lang w:val="es-ES"/>
        </w:rPr>
        <w:t>Anexos:</w:t>
      </w:r>
      <w:r w:rsidR="002B7E63">
        <w:rPr>
          <w:rFonts w:ascii="Arial" w:hAnsi="Arial"/>
          <w:b/>
          <w:sz w:val="20"/>
          <w:lang w:val="es-ES"/>
        </w:rPr>
        <w:tab/>
      </w:r>
      <w:r w:rsidR="002B7E63">
        <w:rPr>
          <w:rFonts w:ascii="Arial" w:hAnsi="Arial"/>
          <w:b/>
          <w:sz w:val="20"/>
          <w:lang w:val="es-ES"/>
        </w:rPr>
        <w:tab/>
      </w:r>
      <w:r w:rsidR="002B7E63">
        <w:rPr>
          <w:rFonts w:ascii="Arial" w:hAnsi="Arial"/>
          <w:b/>
          <w:sz w:val="20"/>
          <w:lang w:val="es-ES"/>
        </w:rPr>
        <w:tab/>
      </w:r>
      <w:r w:rsidR="002B7E63">
        <w:rPr>
          <w:rFonts w:ascii="Arial" w:hAnsi="Arial"/>
          <w:b/>
          <w:sz w:val="20"/>
          <w:lang w:val="es-ES"/>
        </w:rPr>
        <w:tab/>
      </w:r>
      <w:r w:rsidR="002B7E63">
        <w:rPr>
          <w:rFonts w:ascii="Arial" w:hAnsi="Arial"/>
          <w:b/>
          <w:sz w:val="20"/>
          <w:lang w:val="es-ES"/>
        </w:rPr>
        <w:tab/>
      </w:r>
      <w:r w:rsidR="002B7E63">
        <w:rPr>
          <w:rFonts w:ascii="Arial" w:hAnsi="Arial"/>
          <w:b/>
          <w:sz w:val="20"/>
          <w:lang w:val="es-ES"/>
        </w:rPr>
        <w:tab/>
      </w:r>
      <w:r w:rsidR="002B7E63">
        <w:rPr>
          <w:rFonts w:ascii="Arial" w:hAnsi="Arial"/>
          <w:b/>
          <w:sz w:val="20"/>
          <w:lang w:val="es-ES"/>
        </w:rPr>
        <w:tab/>
      </w:r>
      <w:r w:rsidR="002B7E63">
        <w:rPr>
          <w:rFonts w:ascii="Arial" w:hAnsi="Arial"/>
          <w:b/>
          <w:sz w:val="20"/>
          <w:lang w:val="es-ES"/>
        </w:rPr>
        <w:tab/>
      </w:r>
      <w:r w:rsidR="002B7E63">
        <w:rPr>
          <w:rFonts w:ascii="Arial" w:hAnsi="Arial"/>
          <w:b/>
          <w:sz w:val="20"/>
          <w:lang w:val="es-ES"/>
        </w:rPr>
        <w:tab/>
      </w:r>
      <w:r w:rsidRPr="00AB5F8F">
        <w:rPr>
          <w:rFonts w:ascii="Arial" w:hAnsi="Arial"/>
          <w:b/>
          <w:sz w:val="20"/>
          <w:lang w:val="es-ES"/>
        </w:rPr>
        <w:t xml:space="preserve"> </w:t>
      </w:r>
      <w:r w:rsidR="004B4A44">
        <w:rPr>
          <w:rFonts w:ascii="Arial" w:hAnsi="Arial"/>
          <w:b/>
          <w:sz w:val="20"/>
          <w:lang w:val="es-ES"/>
        </w:rPr>
        <w:tab/>
      </w:r>
      <w:r w:rsidR="002B7E63" w:rsidRPr="00AB5F8F">
        <w:rPr>
          <w:rFonts w:ascii="Arial" w:hAnsi="Arial"/>
          <w:b/>
          <w:sz w:val="20"/>
          <w:lang w:val="es-ES"/>
        </w:rPr>
        <w:t xml:space="preserve">Página: </w:t>
      </w:r>
      <w:r w:rsidR="00DB10DB" w:rsidRPr="00DB10DB">
        <w:rPr>
          <w:rFonts w:ascii="Arial" w:hAnsi="Arial"/>
          <w:sz w:val="20"/>
          <w:lang w:val="es-ES"/>
        </w:rPr>
        <w:t>1</w:t>
      </w:r>
      <w:r w:rsidR="009C3C6F">
        <w:rPr>
          <w:rFonts w:ascii="Arial" w:hAnsi="Arial"/>
          <w:b/>
          <w:sz w:val="20"/>
          <w:lang w:val="es-ES"/>
        </w:rPr>
        <w:t xml:space="preserve"> de </w:t>
      </w:r>
      <w:r w:rsidR="009C3C6F" w:rsidRPr="009C3C6F">
        <w:rPr>
          <w:rFonts w:ascii="Arial" w:hAnsi="Arial"/>
          <w:sz w:val="20"/>
          <w:lang w:val="es-ES"/>
        </w:rPr>
        <w:t>3</w:t>
      </w:r>
      <w:r w:rsidRPr="00AB5F8F">
        <w:rPr>
          <w:rFonts w:ascii="Arial" w:hAnsi="Arial"/>
          <w:b/>
          <w:sz w:val="20"/>
          <w:lang w:val="es-ES"/>
        </w:rPr>
        <w:t xml:space="preserve">                                                       </w:t>
      </w:r>
    </w:p>
    <w:p w14:paraId="3781E82F" w14:textId="77777777" w:rsidR="008E4746" w:rsidRPr="00AB5F8F" w:rsidRDefault="008E4746">
      <w:pPr>
        <w:rPr>
          <w:rFonts w:ascii="Arial" w:hAnsi="Arial"/>
          <w:sz w:val="20"/>
          <w:lang w:val="es-ES"/>
        </w:rPr>
      </w:pPr>
      <w:r w:rsidRPr="00AB5F8F">
        <w:rPr>
          <w:rFonts w:ascii="Arial" w:hAnsi="Arial"/>
          <w:b/>
          <w:sz w:val="20"/>
          <w:lang w:val="es-ES"/>
        </w:rPr>
        <w:t xml:space="preserve">                                                                                       </w:t>
      </w:r>
    </w:p>
    <w:p w14:paraId="0DB51C5C" w14:textId="1A068A4B" w:rsidR="008E4746" w:rsidRDefault="008E4746">
      <w:pPr>
        <w:rPr>
          <w:rFonts w:ascii="Arial" w:hAnsi="Arial"/>
          <w:b/>
          <w:sz w:val="20"/>
          <w:u w:val="single"/>
          <w:lang w:val="es-ES"/>
        </w:rPr>
      </w:pPr>
      <w:r w:rsidRPr="00AB5F8F">
        <w:rPr>
          <w:rFonts w:ascii="Arial" w:hAnsi="Arial"/>
          <w:b/>
          <w:sz w:val="20"/>
          <w:u w:val="single"/>
          <w:lang w:val="es-ES"/>
        </w:rPr>
        <w:t>Política:</w:t>
      </w:r>
    </w:p>
    <w:p w14:paraId="07F41A4B" w14:textId="77777777" w:rsidR="002B7E63" w:rsidRPr="00AB5F8F" w:rsidRDefault="002B7E63">
      <w:pPr>
        <w:rPr>
          <w:rFonts w:ascii="Arial" w:hAnsi="Arial"/>
          <w:sz w:val="20"/>
          <w:lang w:val="es-ES"/>
        </w:rPr>
      </w:pPr>
    </w:p>
    <w:p w14:paraId="780D9B42" w14:textId="77777777" w:rsidR="008E4746" w:rsidRPr="00AB5F8F" w:rsidRDefault="008E4746">
      <w:pPr>
        <w:rPr>
          <w:rFonts w:ascii="Arial" w:hAnsi="Arial"/>
          <w:lang w:val="es-ES"/>
        </w:rPr>
      </w:pPr>
      <w:r w:rsidRPr="00AB5F8F">
        <w:rPr>
          <w:rFonts w:ascii="Arial" w:hAnsi="Arial"/>
          <w:sz w:val="20"/>
          <w:lang w:val="es-ES"/>
        </w:rPr>
        <w:t xml:space="preserve">Es política de St. Luke’s Cornwall Hospital trasladar las cuentas a cargo del paciente a deudas incobrables para llevar adelante actividades de cobranza adicionales cuando, luego de seguir el proceso de cobranza de pagos a cargo del paciente, no hubiese resolución del saldo, determinación de asistencia financiera o determinación de caridad presunta. </w:t>
      </w:r>
    </w:p>
    <w:p w14:paraId="3D0A28C4" w14:textId="77777777" w:rsidR="008E4746" w:rsidRPr="00AB5F8F" w:rsidRDefault="008E4746">
      <w:pPr>
        <w:rPr>
          <w:rFonts w:ascii="Arial" w:hAnsi="Arial"/>
          <w:sz w:val="20"/>
          <w:u w:val="single"/>
          <w:lang w:val="es-ES"/>
        </w:rPr>
      </w:pPr>
    </w:p>
    <w:p w14:paraId="49CAAF5C" w14:textId="3AA167D1" w:rsidR="008E4746" w:rsidRDefault="008E4746">
      <w:pPr>
        <w:rPr>
          <w:rFonts w:ascii="Arial" w:hAnsi="Arial"/>
          <w:b/>
          <w:sz w:val="20"/>
          <w:u w:val="single"/>
          <w:lang w:val="es-ES"/>
        </w:rPr>
      </w:pPr>
      <w:r w:rsidRPr="00AB5F8F">
        <w:rPr>
          <w:rFonts w:ascii="Arial" w:hAnsi="Arial"/>
          <w:b/>
          <w:sz w:val="20"/>
          <w:u w:val="single"/>
          <w:lang w:val="es-ES"/>
        </w:rPr>
        <w:t xml:space="preserve">Propósito: </w:t>
      </w:r>
    </w:p>
    <w:p w14:paraId="5D189C15" w14:textId="77777777" w:rsidR="002B7E63" w:rsidRPr="00AB5F8F" w:rsidRDefault="002B7E63">
      <w:pPr>
        <w:rPr>
          <w:rFonts w:ascii="Arial" w:hAnsi="Arial"/>
          <w:lang w:val="es-ES"/>
        </w:rPr>
      </w:pPr>
    </w:p>
    <w:p w14:paraId="7FB6332F" w14:textId="77777777" w:rsidR="008E4746" w:rsidRPr="00AB5F8F" w:rsidRDefault="008E4746">
      <w:pPr>
        <w:rPr>
          <w:rFonts w:ascii="Arial" w:hAnsi="Arial"/>
          <w:lang w:val="es-ES"/>
        </w:rPr>
      </w:pPr>
      <w:r w:rsidRPr="00AB5F8F">
        <w:rPr>
          <w:rFonts w:ascii="Arial" w:hAnsi="Arial"/>
          <w:sz w:val="20"/>
          <w:lang w:val="es-ES"/>
        </w:rPr>
        <w:t xml:space="preserve">Asegurar el apropiado seguimiento de todos los saldos correspondientes a pagos a cargo del paciente, ya sea de carácter puro o luego del descuento del pago del seguro, para resolver los saldos antes de que entren en mora, identificando a los pacientes que necesitan asistencia financiera cuando sea posible, y brindando ayuda a quienes necesitan asistencia extra para resolver el pago de su cuenta antes de trasladarla a deudas incobrables para que se lleven a cabo actividades de cobranza adicionales y una posible acción de cobranza extraordinaria. </w:t>
      </w:r>
    </w:p>
    <w:p w14:paraId="0BD69F51" w14:textId="77777777" w:rsidR="008E4746" w:rsidRPr="00AB5F8F" w:rsidRDefault="008E4746">
      <w:pPr>
        <w:rPr>
          <w:rFonts w:ascii="Arial" w:hAnsi="Arial"/>
          <w:b/>
          <w:sz w:val="20"/>
          <w:u w:val="single"/>
          <w:lang w:val="es-ES"/>
        </w:rPr>
      </w:pPr>
    </w:p>
    <w:p w14:paraId="43AAA90A" w14:textId="1428C5B2" w:rsidR="008E4746" w:rsidRDefault="008E4746">
      <w:pPr>
        <w:rPr>
          <w:rFonts w:ascii="Arial" w:hAnsi="Arial"/>
          <w:b/>
          <w:sz w:val="20"/>
          <w:u w:val="single"/>
          <w:lang w:val="es-ES"/>
        </w:rPr>
      </w:pPr>
      <w:r w:rsidRPr="00AB5F8F">
        <w:rPr>
          <w:rFonts w:ascii="Arial" w:hAnsi="Arial"/>
          <w:b/>
          <w:sz w:val="20"/>
          <w:u w:val="single"/>
          <w:lang w:val="es-ES"/>
        </w:rPr>
        <w:t>Procedimiento:</w:t>
      </w:r>
    </w:p>
    <w:p w14:paraId="7B34FF00" w14:textId="77777777" w:rsidR="002B7E63" w:rsidRPr="00AB5F8F" w:rsidRDefault="002B7E63">
      <w:pPr>
        <w:rPr>
          <w:rFonts w:ascii="Arial" w:hAnsi="Arial"/>
          <w:b/>
          <w:sz w:val="20"/>
          <w:u w:val="single"/>
          <w:lang w:val="es-ES"/>
        </w:rPr>
      </w:pPr>
    </w:p>
    <w:p w14:paraId="0523AA78" w14:textId="77777777" w:rsidR="008E4746" w:rsidRPr="00AB5F8F" w:rsidRDefault="008E4746">
      <w:pPr>
        <w:rPr>
          <w:rFonts w:ascii="Arial" w:hAnsi="Arial"/>
          <w:lang w:val="es-ES"/>
        </w:rPr>
      </w:pPr>
      <w:r w:rsidRPr="00AB5F8F">
        <w:rPr>
          <w:rFonts w:ascii="Arial" w:hAnsi="Arial"/>
          <w:sz w:val="20"/>
          <w:lang w:val="es-ES"/>
        </w:rPr>
        <w:t xml:space="preserve">Luego del pago del seguro y la asignación del saldo del pago a cargo del paciente, o de poner fin a la cuenta de los pacientes que no tienen seguro, las cuentas de pago a cargo del paciente son manejadas por un proveedor externo para obtener el pago e información sobre terceros encargados del pago, o para acordar arreglos de pago con el paciente a fin de resolver el saldo pendiente. Además de llamar a los pacientes y recibir las llamadas que estos hagan, los proveedores encargados de los pagos que debe realizar el paciente o los </w:t>
      </w:r>
      <w:r w:rsidR="00AB5F8F" w:rsidRPr="00AB5F8F">
        <w:rPr>
          <w:rFonts w:ascii="Arial" w:hAnsi="Arial"/>
          <w:sz w:val="20"/>
          <w:lang w:val="es-ES"/>
        </w:rPr>
        <w:t>representantes</w:t>
      </w:r>
      <w:r w:rsidRPr="00AB5F8F">
        <w:rPr>
          <w:rFonts w:ascii="Arial" w:hAnsi="Arial"/>
          <w:sz w:val="20"/>
          <w:lang w:val="es-ES"/>
        </w:rPr>
        <w:t xml:space="preserve"> del hospital también brindan ayuda para completar las solicitudes de asistencia financiera a los pacientes que manifiestan necesitarla. Nuestro proveedor de pagos a cargo del paciente devuelve las cuentas del paciente al hospital a los 120 días, contados desde la fecha del primer estado de cuenta del paciente, si el saldo sigue aún sin resolverse y el paciente no ha solicitado asistencia para pagarlo. Las cuentas del paciente se derivan a una agencia de cobranza externa en el plazo de 30 días luego de su devolución para llevar a cabo esfuerzos de cobranza adicionales, si se completó toda la serie de cartas, el saldo permanece sin resolución y el paciente no califica para recibir asistencia financiera. Los procedimientos para solicitar asistencia financiera se encuentran documentados y se conservan por separado. </w:t>
      </w:r>
    </w:p>
    <w:p w14:paraId="444F7C29" w14:textId="77777777" w:rsidR="008E4746" w:rsidRPr="00AB5F8F" w:rsidRDefault="008E4746">
      <w:pPr>
        <w:rPr>
          <w:rFonts w:ascii="Arial" w:hAnsi="Arial"/>
          <w:sz w:val="20"/>
          <w:lang w:val="es-ES"/>
        </w:rPr>
      </w:pPr>
    </w:p>
    <w:p w14:paraId="385AFE12" w14:textId="772BFBFC" w:rsidR="008E4746" w:rsidRDefault="008E4746">
      <w:pPr>
        <w:rPr>
          <w:rFonts w:ascii="Arial" w:hAnsi="Arial"/>
          <w:sz w:val="20"/>
          <w:u w:val="single"/>
          <w:lang w:val="es-ES"/>
        </w:rPr>
      </w:pPr>
      <w:r w:rsidRPr="00AB5F8F">
        <w:rPr>
          <w:rFonts w:ascii="Arial" w:hAnsi="Arial"/>
          <w:sz w:val="20"/>
          <w:u w:val="single"/>
          <w:lang w:val="es-ES"/>
        </w:rPr>
        <w:t>Una cuenta se puede derivar a cobranzas antes de completar la serie de cuatro cartas en los siguientes casos:</w:t>
      </w:r>
    </w:p>
    <w:p w14:paraId="6D6EE6AF" w14:textId="77777777" w:rsidR="002B7E63" w:rsidRPr="00AB5F8F" w:rsidRDefault="002B7E63">
      <w:pPr>
        <w:rPr>
          <w:rFonts w:ascii="Arial" w:hAnsi="Arial"/>
          <w:sz w:val="20"/>
          <w:u w:val="single"/>
          <w:lang w:val="es-ES"/>
        </w:rPr>
      </w:pPr>
    </w:p>
    <w:p w14:paraId="15D1D5D4" w14:textId="77777777" w:rsidR="008E4746" w:rsidRPr="002B7E63" w:rsidRDefault="008E4746">
      <w:pPr>
        <w:numPr>
          <w:ilvl w:val="0"/>
          <w:numId w:val="1"/>
        </w:numPr>
        <w:rPr>
          <w:rFonts w:ascii="Arial" w:hAnsi="Arial"/>
          <w:sz w:val="20"/>
          <w:szCs w:val="20"/>
          <w:lang w:val="es-ES"/>
        </w:rPr>
      </w:pPr>
      <w:r w:rsidRPr="002B7E63">
        <w:rPr>
          <w:rFonts w:ascii="Arial" w:hAnsi="Arial"/>
          <w:sz w:val="20"/>
          <w:szCs w:val="20"/>
          <w:lang w:val="es-ES"/>
        </w:rPr>
        <w:t>El paciente o garante avisa al representante de pagos a cargo del paciente que no tiene ninguna intención de pagar su cuenta.</w:t>
      </w:r>
    </w:p>
    <w:p w14:paraId="6D78D65F" w14:textId="77777777" w:rsidR="009B2C9B" w:rsidRDefault="008E4746">
      <w:pPr>
        <w:numPr>
          <w:ilvl w:val="0"/>
          <w:numId w:val="1"/>
        </w:numPr>
        <w:rPr>
          <w:rFonts w:ascii="Arial" w:hAnsi="Arial"/>
          <w:sz w:val="20"/>
          <w:szCs w:val="20"/>
          <w:lang w:val="es-ES"/>
        </w:rPr>
      </w:pPr>
      <w:r w:rsidRPr="002B7E63">
        <w:rPr>
          <w:rFonts w:ascii="Arial" w:hAnsi="Arial"/>
          <w:sz w:val="20"/>
          <w:szCs w:val="20"/>
          <w:lang w:val="es-ES"/>
        </w:rPr>
        <w:t xml:space="preserve">Resulta imposible comunicarse con el paciente vía correo postal o teléfono por tener información incorrecta. Se emitirá un estado de cuenta para todos los saldos de cuenta y se harán llamadas telefónicas para intentar resolver los saldos de pagos a cargo del paciente. La devolución de la correspondencia postal y los números de teléfono desconectados se documentarán y serán manejados por el personal interno. En caso de que no exista ninguna información certera acerca de la cuenta una vez realizados los intentos iniciales, la cuenta se puede remitir a cobranzas </w:t>
      </w:r>
    </w:p>
    <w:p w14:paraId="4CD2C0E3" w14:textId="77777777" w:rsidR="004B4A44" w:rsidRDefault="004B4A44" w:rsidP="009B2C9B">
      <w:pPr>
        <w:ind w:left="7200"/>
        <w:rPr>
          <w:rFonts w:ascii="Arial" w:hAnsi="Arial"/>
          <w:b/>
          <w:sz w:val="20"/>
          <w:lang w:val="es-ES"/>
        </w:rPr>
      </w:pPr>
    </w:p>
    <w:p w14:paraId="4FF8F113" w14:textId="165EC5B0" w:rsidR="009B2C9B" w:rsidRDefault="009B2C9B" w:rsidP="004B4A44">
      <w:pPr>
        <w:ind w:left="7200" w:firstLine="720"/>
        <w:rPr>
          <w:rFonts w:ascii="Arial" w:hAnsi="Arial"/>
          <w:sz w:val="20"/>
          <w:lang w:val="es-ES"/>
        </w:rPr>
      </w:pPr>
      <w:r w:rsidRPr="00AB5F8F">
        <w:rPr>
          <w:rFonts w:ascii="Arial" w:hAnsi="Arial"/>
          <w:b/>
          <w:sz w:val="20"/>
          <w:lang w:val="es-ES"/>
        </w:rPr>
        <w:lastRenderedPageBreak/>
        <w:t xml:space="preserve">Página: </w:t>
      </w:r>
      <w:r>
        <w:rPr>
          <w:rFonts w:ascii="Arial" w:hAnsi="Arial"/>
          <w:sz w:val="20"/>
          <w:lang w:val="es-ES"/>
        </w:rPr>
        <w:t>2</w:t>
      </w:r>
      <w:r w:rsidR="009C3C6F">
        <w:rPr>
          <w:rFonts w:ascii="Arial" w:hAnsi="Arial"/>
          <w:sz w:val="20"/>
          <w:lang w:val="es-ES"/>
        </w:rPr>
        <w:t xml:space="preserve"> </w:t>
      </w:r>
      <w:r w:rsidR="009C3C6F" w:rsidRPr="009C3C6F">
        <w:rPr>
          <w:rFonts w:ascii="Arial" w:hAnsi="Arial"/>
          <w:b/>
          <w:sz w:val="20"/>
          <w:lang w:val="es-ES"/>
        </w:rPr>
        <w:t>de</w:t>
      </w:r>
      <w:r w:rsidR="009C3C6F">
        <w:rPr>
          <w:rFonts w:ascii="Arial" w:hAnsi="Arial"/>
          <w:sz w:val="20"/>
          <w:lang w:val="es-ES"/>
        </w:rPr>
        <w:t xml:space="preserve"> 3</w:t>
      </w:r>
    </w:p>
    <w:p w14:paraId="3DF985CA" w14:textId="77777777" w:rsidR="009B2C9B" w:rsidRDefault="009B2C9B" w:rsidP="009B2C9B">
      <w:pPr>
        <w:ind w:left="7200"/>
        <w:rPr>
          <w:rFonts w:ascii="Arial" w:hAnsi="Arial"/>
          <w:sz w:val="20"/>
          <w:szCs w:val="20"/>
          <w:lang w:val="es-ES"/>
        </w:rPr>
      </w:pPr>
    </w:p>
    <w:p w14:paraId="2E04DEF6" w14:textId="4FC4E7AE" w:rsidR="008E4746" w:rsidRPr="002B7E63" w:rsidRDefault="008E4746" w:rsidP="009B2C9B">
      <w:pPr>
        <w:ind w:left="720"/>
        <w:rPr>
          <w:rFonts w:ascii="Arial" w:hAnsi="Arial"/>
          <w:sz w:val="20"/>
          <w:szCs w:val="20"/>
          <w:lang w:val="es-ES"/>
        </w:rPr>
      </w:pPr>
      <w:r w:rsidRPr="002B7E63">
        <w:rPr>
          <w:rFonts w:ascii="Arial" w:hAnsi="Arial"/>
          <w:sz w:val="20"/>
          <w:szCs w:val="20"/>
          <w:lang w:val="es-ES"/>
        </w:rPr>
        <w:t>antes de completar la serie de cartas. Es responsabilidad del paciente proporcionar datos demográficos exactos en el momento del servicio o en caso de mudanza</w:t>
      </w:r>
      <w:r w:rsidR="00FA7059" w:rsidRPr="002B7E63">
        <w:rPr>
          <w:rFonts w:ascii="Arial" w:hAnsi="Arial"/>
          <w:sz w:val="20"/>
          <w:szCs w:val="20"/>
          <w:lang w:val="es-ES"/>
        </w:rPr>
        <w:t xml:space="preserve">. </w:t>
      </w:r>
    </w:p>
    <w:p w14:paraId="0BEA5F02" w14:textId="77777777" w:rsidR="008E4746" w:rsidRPr="002B7E63" w:rsidRDefault="008E4746">
      <w:pPr>
        <w:numPr>
          <w:ilvl w:val="0"/>
          <w:numId w:val="1"/>
        </w:numPr>
        <w:rPr>
          <w:rFonts w:ascii="Arial" w:hAnsi="Arial"/>
          <w:sz w:val="20"/>
          <w:szCs w:val="20"/>
          <w:lang w:val="es-ES"/>
        </w:rPr>
      </w:pPr>
      <w:r w:rsidRPr="002B7E63">
        <w:rPr>
          <w:rFonts w:ascii="Arial" w:hAnsi="Arial"/>
          <w:sz w:val="20"/>
          <w:szCs w:val="20"/>
          <w:lang w:val="es-ES"/>
        </w:rPr>
        <w:t>No se puede poner fin a ninguna circunstancia adicional en la cual no se pueda completar la serie de cuatro cartas antes de que una derivación o determinación de beneficios de un saldo de pago a cargo del paciente sea analizada, documentada y completada por la gerencia.</w:t>
      </w:r>
    </w:p>
    <w:p w14:paraId="394B88D3" w14:textId="77777777" w:rsidR="008E4746" w:rsidRPr="00AB5F8F" w:rsidRDefault="008E4746">
      <w:pPr>
        <w:rPr>
          <w:rFonts w:ascii="Arial" w:hAnsi="Arial"/>
          <w:sz w:val="20"/>
          <w:lang w:val="es-ES"/>
        </w:rPr>
      </w:pPr>
    </w:p>
    <w:p w14:paraId="21CCC9DD" w14:textId="77777777" w:rsidR="008E4746" w:rsidRPr="00AB5F8F" w:rsidRDefault="008E4746">
      <w:pPr>
        <w:rPr>
          <w:rFonts w:ascii="Arial" w:hAnsi="Arial"/>
          <w:lang w:val="es-ES"/>
        </w:rPr>
      </w:pPr>
      <w:r w:rsidRPr="00AB5F8F">
        <w:rPr>
          <w:rFonts w:ascii="Arial" w:hAnsi="Arial"/>
          <w:sz w:val="20"/>
          <w:lang w:val="es-ES"/>
        </w:rPr>
        <w:t xml:space="preserve">Los saldos de pagos a cargo del paciente sin resolución se devuelven al hospital en un informe de cierre en forma semanal. El proveedor de pagos a cargo del paciente evalúa las cuentas para la posible calificación de caridad presunta. Las cuentas se valoran en función del monto en dólares y de una evaluación de la probabilidad de que la persona responsable pague. Las cuentas valoradas con una puntuación de selección de pago de 3-5, CP, o que no pueden ser calificadas, se remitirán a una agencia de deudas incobrables para que se lleven adelante esfuerzos de cobranza adicionales. </w:t>
      </w:r>
    </w:p>
    <w:p w14:paraId="1A6370D4" w14:textId="77777777" w:rsidR="008E4746" w:rsidRPr="00AB5F8F" w:rsidRDefault="008E4746">
      <w:pPr>
        <w:rPr>
          <w:rFonts w:ascii="Arial" w:hAnsi="Arial"/>
          <w:sz w:val="20"/>
          <w:lang w:val="es-ES"/>
        </w:rPr>
      </w:pPr>
    </w:p>
    <w:p w14:paraId="73EC3646" w14:textId="77777777" w:rsidR="008E4746" w:rsidRPr="00AB5F8F" w:rsidRDefault="008E4746">
      <w:pPr>
        <w:rPr>
          <w:rFonts w:ascii="Arial" w:hAnsi="Arial"/>
          <w:lang w:val="es-ES"/>
        </w:rPr>
      </w:pPr>
      <w:r w:rsidRPr="00AB5F8F">
        <w:rPr>
          <w:rFonts w:ascii="Arial" w:hAnsi="Arial"/>
          <w:sz w:val="20"/>
          <w:lang w:val="es-ES"/>
        </w:rPr>
        <w:t>St. Luke’s Cornwall Hospital utiliza en total tres agencias de cobranza para que se ocupen de las cuentas en estado de deudas incobrables. Cada campus se divide inicialmente en un 50% según las letras del alfabeto entre dos agencias primarias para permitir el rastreo de los resultados</w:t>
      </w:r>
      <w:r w:rsidR="00FA7059">
        <w:rPr>
          <w:rFonts w:ascii="Arial" w:hAnsi="Arial"/>
          <w:sz w:val="20"/>
          <w:lang w:val="es-ES"/>
        </w:rPr>
        <w:t xml:space="preserve">. </w:t>
      </w:r>
      <w:r w:rsidRPr="00AB5F8F">
        <w:rPr>
          <w:rFonts w:ascii="Arial" w:hAnsi="Arial"/>
          <w:sz w:val="20"/>
          <w:lang w:val="es-ES"/>
        </w:rPr>
        <w:t xml:space="preserve">Las agencias de cobranza implementan prácticas de cobranza estándar, utilizando como guía </w:t>
      </w:r>
      <w:smartTag w:uri="urn:schemas-microsoft-com:office:smarttags" w:element="PersonName">
        <w:smartTagPr>
          <w:attr w:name="ProductID" w:val="la Ley"/>
        </w:smartTagPr>
        <w:r w:rsidRPr="00AB5F8F">
          <w:rPr>
            <w:rFonts w:ascii="Arial" w:hAnsi="Arial"/>
            <w:sz w:val="20"/>
            <w:lang w:val="es-ES"/>
          </w:rPr>
          <w:t xml:space="preserve">la </w:t>
        </w:r>
        <w:r w:rsidRPr="00AB5F8F">
          <w:rPr>
            <w:rFonts w:ascii="Arial" w:hAnsi="Arial"/>
            <w:i/>
            <w:sz w:val="20"/>
            <w:lang w:val="es-ES"/>
          </w:rPr>
          <w:t>Ley</w:t>
        </w:r>
      </w:smartTag>
      <w:r w:rsidRPr="00AB5F8F">
        <w:rPr>
          <w:rFonts w:ascii="Arial" w:hAnsi="Arial"/>
          <w:i/>
          <w:sz w:val="20"/>
          <w:lang w:val="es-ES"/>
        </w:rPr>
        <w:t xml:space="preserve"> de prácticas justas de cobranza de deudas</w:t>
      </w:r>
      <w:r w:rsidRPr="00AB5F8F">
        <w:rPr>
          <w:rFonts w:ascii="Arial" w:hAnsi="Arial"/>
          <w:sz w:val="20"/>
          <w:lang w:val="es-ES"/>
        </w:rPr>
        <w:t xml:space="preserve"> (</w:t>
      </w:r>
      <w:r w:rsidRPr="00AB5F8F">
        <w:rPr>
          <w:rFonts w:ascii="Arial" w:hAnsi="Arial"/>
          <w:i/>
          <w:sz w:val="20"/>
          <w:lang w:val="es-ES"/>
        </w:rPr>
        <w:t>Fair Debt Collection Practices Act</w:t>
      </w:r>
      <w:r w:rsidRPr="00AB5F8F">
        <w:rPr>
          <w:rFonts w:ascii="Arial" w:hAnsi="Arial"/>
          <w:sz w:val="20"/>
          <w:lang w:val="es-ES"/>
        </w:rPr>
        <w:t xml:space="preserve">). El hospital puede iniciar cualquier acción legal, incluidas las acciones de cobranza extraordinarias, para obtener el pago de los servicios médicos brindados. </w:t>
      </w:r>
    </w:p>
    <w:p w14:paraId="47EB23A6" w14:textId="77777777" w:rsidR="008E4746" w:rsidRPr="00AB5F8F" w:rsidRDefault="008E4746">
      <w:pPr>
        <w:rPr>
          <w:rFonts w:ascii="Arial" w:hAnsi="Arial"/>
          <w:sz w:val="20"/>
          <w:lang w:val="es-ES"/>
        </w:rPr>
      </w:pPr>
    </w:p>
    <w:p w14:paraId="22C379D6" w14:textId="5BC3FED1" w:rsidR="008E4746" w:rsidRDefault="008E4746">
      <w:pPr>
        <w:rPr>
          <w:rFonts w:ascii="Arial" w:hAnsi="Arial"/>
          <w:sz w:val="20"/>
          <w:lang w:val="es-ES"/>
        </w:rPr>
      </w:pPr>
      <w:r w:rsidRPr="00AB5F8F">
        <w:rPr>
          <w:rFonts w:ascii="Arial" w:hAnsi="Arial"/>
          <w:sz w:val="20"/>
          <w:lang w:val="es-ES"/>
        </w:rPr>
        <w:t xml:space="preserve">Si bien el saldo de las cuentas se puede trasladar a deudas incobrables luego del período inicial de cobranza de 120 días, las cuentas que no hubiesen sido evaluadas para el otorgamiento de asistencia financiera igualmente pueden cumplir los requisitos para la solicitud de asistencia durante un plazo adicional de 120 días. Las agencias de cobranza afiliadas al hospital deben seguir los mismos principios rectores detallados en la política de ayuda financiera del hospital y deben colaborar con la intención del paciente de solicitar asistencia financiera, aun si la cuenta ya se envió a la agencia. </w:t>
      </w:r>
    </w:p>
    <w:p w14:paraId="09138ED7" w14:textId="77777777" w:rsidR="009B2C9B" w:rsidRPr="00AB5F8F" w:rsidRDefault="009B2C9B">
      <w:pPr>
        <w:rPr>
          <w:rFonts w:ascii="Arial" w:hAnsi="Arial"/>
          <w:lang w:val="es-ES"/>
        </w:rPr>
      </w:pPr>
    </w:p>
    <w:p w14:paraId="4025DB1D" w14:textId="77777777" w:rsidR="008E4746" w:rsidRPr="009B2C9B" w:rsidRDefault="008E4746">
      <w:pPr>
        <w:pStyle w:val="ListParagraph"/>
        <w:numPr>
          <w:ilvl w:val="0"/>
          <w:numId w:val="3"/>
        </w:numPr>
        <w:rPr>
          <w:rFonts w:ascii="Arial" w:hAnsi="Arial"/>
          <w:sz w:val="20"/>
          <w:szCs w:val="20"/>
          <w:lang w:val="es-ES"/>
        </w:rPr>
      </w:pPr>
      <w:r w:rsidRPr="009B2C9B">
        <w:rPr>
          <w:rFonts w:ascii="Arial" w:hAnsi="Arial"/>
          <w:sz w:val="20"/>
          <w:szCs w:val="20"/>
          <w:lang w:val="es-ES"/>
        </w:rPr>
        <w:t>Los pacientes recibirán una notificación con 30 días de anticipación antes de que su cuenta se transfiera a una agencia de cobranza por la falta de pago del saldo, por no completar la solicitud de asistencia financiera o por no inscribirse en un plan de pago aprobado o no cumplir con dicho plan.</w:t>
      </w:r>
    </w:p>
    <w:p w14:paraId="0753AF3F" w14:textId="77777777" w:rsidR="008E4746" w:rsidRPr="009B2C9B" w:rsidRDefault="008E4746">
      <w:pPr>
        <w:pStyle w:val="ListParagraph"/>
        <w:numPr>
          <w:ilvl w:val="0"/>
          <w:numId w:val="3"/>
        </w:numPr>
        <w:rPr>
          <w:rFonts w:ascii="Arial" w:hAnsi="Arial"/>
          <w:sz w:val="20"/>
          <w:szCs w:val="20"/>
          <w:lang w:val="es-ES"/>
        </w:rPr>
      </w:pPr>
      <w:r w:rsidRPr="009B2C9B">
        <w:rPr>
          <w:rFonts w:ascii="Arial" w:hAnsi="Arial"/>
          <w:sz w:val="20"/>
          <w:szCs w:val="20"/>
          <w:lang w:val="es-ES"/>
        </w:rPr>
        <w:t xml:space="preserve">Si un paciente ha solicitado completar una solicitud de asistencia financiera dentro del plazo correspondiente de 240 días, se </w:t>
      </w:r>
      <w:r w:rsidR="00AB5F8F" w:rsidRPr="009B2C9B">
        <w:rPr>
          <w:rFonts w:ascii="Arial" w:hAnsi="Arial"/>
          <w:sz w:val="20"/>
          <w:szCs w:val="20"/>
          <w:lang w:val="es-ES"/>
        </w:rPr>
        <w:t>retendrá</w:t>
      </w:r>
      <w:r w:rsidRPr="009B2C9B">
        <w:rPr>
          <w:rFonts w:ascii="Arial" w:hAnsi="Arial"/>
          <w:sz w:val="20"/>
          <w:szCs w:val="20"/>
          <w:lang w:val="es-ES"/>
        </w:rPr>
        <w:t xml:space="preserve"> la cuenta durante 30 días para recibir una solicitud completa con toda la documentación requerida que dé constancia de los ingresos. El paciente luego recibirá una decisión, ya sea la aprobación o el rechazo de la asistencia, dentro de los 30 días de recibida la solicitud.</w:t>
      </w:r>
    </w:p>
    <w:p w14:paraId="3076B0D8" w14:textId="77777777" w:rsidR="008E4746" w:rsidRPr="009B2C9B" w:rsidRDefault="008E4746">
      <w:pPr>
        <w:pStyle w:val="ListParagraph"/>
        <w:numPr>
          <w:ilvl w:val="0"/>
          <w:numId w:val="3"/>
        </w:numPr>
        <w:rPr>
          <w:rFonts w:ascii="Arial" w:hAnsi="Arial"/>
          <w:sz w:val="20"/>
          <w:szCs w:val="20"/>
          <w:lang w:val="es-ES"/>
        </w:rPr>
      </w:pPr>
      <w:r w:rsidRPr="009B2C9B">
        <w:rPr>
          <w:rFonts w:ascii="Arial" w:hAnsi="Arial"/>
          <w:sz w:val="20"/>
          <w:szCs w:val="20"/>
          <w:lang w:val="es-ES"/>
        </w:rPr>
        <w:t xml:space="preserve">En el caso de los pacientes a quienes se les niega la asistencia, o que sólo la reciben parcialmente, se incluye en la carta de rechazo de asistencia financiera la notificación final que indica que los esfuerzos de cobranza, incluida posiblemente una actividad de cobranza extraordinaria, se reanudarán en un plazo de 30 días. </w:t>
      </w:r>
    </w:p>
    <w:p w14:paraId="546B27B5" w14:textId="77777777" w:rsidR="008E4746" w:rsidRPr="009B2C9B" w:rsidRDefault="008E4746">
      <w:pPr>
        <w:pStyle w:val="ListParagraph"/>
        <w:numPr>
          <w:ilvl w:val="0"/>
          <w:numId w:val="3"/>
        </w:numPr>
        <w:rPr>
          <w:rFonts w:ascii="Arial" w:hAnsi="Arial"/>
          <w:sz w:val="20"/>
          <w:szCs w:val="20"/>
          <w:lang w:val="es-ES"/>
        </w:rPr>
      </w:pPr>
      <w:r w:rsidRPr="009B2C9B">
        <w:rPr>
          <w:rFonts w:ascii="Arial" w:hAnsi="Arial"/>
          <w:sz w:val="20"/>
          <w:szCs w:val="20"/>
          <w:lang w:val="es-ES"/>
        </w:rPr>
        <w:t>Todas las agencias de cobranza afiliadas a SLCH deben recibir el consentimiento por escrito de la institución antes de iniciar acciones legales con respecto a la cuenta de cualquier paciente.</w:t>
      </w:r>
    </w:p>
    <w:p w14:paraId="2DDF3168" w14:textId="77777777" w:rsidR="008E4746" w:rsidRPr="009B2C9B" w:rsidRDefault="008E4746">
      <w:pPr>
        <w:pStyle w:val="ListParagraph"/>
        <w:numPr>
          <w:ilvl w:val="0"/>
          <w:numId w:val="3"/>
        </w:numPr>
        <w:rPr>
          <w:rFonts w:ascii="Arial" w:hAnsi="Arial"/>
          <w:sz w:val="20"/>
          <w:szCs w:val="20"/>
          <w:lang w:val="es-ES"/>
        </w:rPr>
      </w:pPr>
      <w:r w:rsidRPr="009B2C9B">
        <w:rPr>
          <w:rFonts w:ascii="Arial" w:hAnsi="Arial"/>
          <w:sz w:val="20"/>
          <w:szCs w:val="20"/>
          <w:lang w:val="es-ES"/>
        </w:rPr>
        <w:t>Están prohibidas las actividades de cobranza en contra de un paciente que cumple los requisitos para recibir los beneficios de Medicaid una vez que el hospital toma conocimiento de la elegibilidad.</w:t>
      </w:r>
    </w:p>
    <w:p w14:paraId="667736C6" w14:textId="77777777" w:rsidR="008E4746" w:rsidRPr="009B2C9B" w:rsidRDefault="008E4746">
      <w:pPr>
        <w:pStyle w:val="ListParagraph"/>
        <w:numPr>
          <w:ilvl w:val="0"/>
          <w:numId w:val="3"/>
        </w:numPr>
        <w:rPr>
          <w:rFonts w:ascii="Arial" w:hAnsi="Arial"/>
          <w:sz w:val="20"/>
          <w:szCs w:val="20"/>
          <w:lang w:val="es-ES"/>
        </w:rPr>
      </w:pPr>
      <w:r w:rsidRPr="009B2C9B">
        <w:rPr>
          <w:rFonts w:ascii="Arial" w:hAnsi="Arial"/>
          <w:sz w:val="20"/>
          <w:szCs w:val="20"/>
          <w:lang w:val="es-ES"/>
        </w:rPr>
        <w:t>SLCH no podrá forzar la venta o ejecución hipotecaria de la residencia primaria de un paciente a fin de cobrar un saldo impago.</w:t>
      </w:r>
    </w:p>
    <w:p w14:paraId="067D3B86" w14:textId="77777777" w:rsidR="008E4746" w:rsidRPr="00AB5F8F" w:rsidRDefault="008E4746">
      <w:pPr>
        <w:rPr>
          <w:rFonts w:ascii="Arial" w:hAnsi="Arial"/>
          <w:sz w:val="20"/>
          <w:lang w:val="es-ES"/>
        </w:rPr>
      </w:pPr>
    </w:p>
    <w:p w14:paraId="0D61453F" w14:textId="2FDA14B3" w:rsidR="008E4746" w:rsidRDefault="008E4746">
      <w:pPr>
        <w:rPr>
          <w:rFonts w:ascii="Arial" w:hAnsi="Arial"/>
          <w:sz w:val="20"/>
          <w:lang w:val="es-ES"/>
        </w:rPr>
      </w:pPr>
      <w:r w:rsidRPr="009B2C9B">
        <w:rPr>
          <w:rFonts w:ascii="Arial" w:hAnsi="Arial"/>
          <w:i/>
          <w:sz w:val="20"/>
          <w:u w:val="single"/>
          <w:lang w:val="es-ES"/>
        </w:rPr>
        <w:t>Las agencias de cobranza primarias operan conforme a las siguientes pautas generales</w:t>
      </w:r>
      <w:r w:rsidRPr="00AB5F8F">
        <w:rPr>
          <w:rFonts w:ascii="Arial" w:hAnsi="Arial"/>
          <w:sz w:val="20"/>
          <w:lang w:val="es-ES"/>
        </w:rPr>
        <w:t>:</w:t>
      </w:r>
    </w:p>
    <w:p w14:paraId="5C58F536" w14:textId="77777777" w:rsidR="009B2C9B" w:rsidRPr="00AB5F8F" w:rsidRDefault="009B2C9B">
      <w:pPr>
        <w:rPr>
          <w:rFonts w:ascii="Arial" w:hAnsi="Arial"/>
          <w:sz w:val="20"/>
          <w:lang w:val="es-ES"/>
        </w:rPr>
      </w:pPr>
    </w:p>
    <w:p w14:paraId="67AA32E3" w14:textId="77777777" w:rsidR="008E4746" w:rsidRPr="009B2C9B" w:rsidRDefault="008E4746">
      <w:pPr>
        <w:numPr>
          <w:ilvl w:val="0"/>
          <w:numId w:val="2"/>
        </w:numPr>
        <w:rPr>
          <w:rFonts w:ascii="Arial" w:hAnsi="Arial"/>
          <w:sz w:val="20"/>
          <w:szCs w:val="20"/>
          <w:lang w:val="es-ES"/>
        </w:rPr>
      </w:pPr>
      <w:r w:rsidRPr="009B2C9B">
        <w:rPr>
          <w:rFonts w:ascii="Arial" w:hAnsi="Arial"/>
          <w:sz w:val="20"/>
          <w:szCs w:val="20"/>
          <w:lang w:val="es-ES"/>
        </w:rPr>
        <w:t xml:space="preserve">El contacto telefónico y por escrito continuará siendo con el paciente. </w:t>
      </w:r>
    </w:p>
    <w:p w14:paraId="076F26BB" w14:textId="77777777" w:rsidR="008E4746" w:rsidRPr="009B2C9B" w:rsidRDefault="008E4746">
      <w:pPr>
        <w:numPr>
          <w:ilvl w:val="0"/>
          <w:numId w:val="2"/>
        </w:numPr>
        <w:rPr>
          <w:rFonts w:ascii="Arial" w:hAnsi="Arial"/>
          <w:sz w:val="20"/>
          <w:szCs w:val="20"/>
          <w:lang w:val="es-ES"/>
        </w:rPr>
      </w:pPr>
      <w:r w:rsidRPr="009B2C9B">
        <w:rPr>
          <w:rFonts w:ascii="Arial" w:hAnsi="Arial"/>
          <w:sz w:val="20"/>
          <w:szCs w:val="20"/>
          <w:lang w:val="es-ES"/>
        </w:rPr>
        <w:t>Las cuentas permanecerán en las agencias primarias por un tiempo total de seis meses.</w:t>
      </w:r>
    </w:p>
    <w:p w14:paraId="47624EB9" w14:textId="77777777" w:rsidR="004B4A44" w:rsidRDefault="004B4A44" w:rsidP="009B2C9B">
      <w:pPr>
        <w:ind w:left="7200"/>
        <w:rPr>
          <w:rFonts w:ascii="Arial" w:hAnsi="Arial"/>
          <w:b/>
          <w:sz w:val="20"/>
          <w:lang w:val="es-ES"/>
        </w:rPr>
      </w:pPr>
    </w:p>
    <w:p w14:paraId="4EF35396" w14:textId="77777777" w:rsidR="004B4A44" w:rsidRDefault="004B4A44" w:rsidP="009B2C9B">
      <w:pPr>
        <w:ind w:left="7200"/>
        <w:rPr>
          <w:rFonts w:ascii="Arial" w:hAnsi="Arial"/>
          <w:b/>
          <w:sz w:val="20"/>
          <w:lang w:val="es-ES"/>
        </w:rPr>
      </w:pPr>
    </w:p>
    <w:p w14:paraId="7AFB51CF" w14:textId="2172DF75" w:rsidR="009B2C9B" w:rsidRDefault="009B2C9B" w:rsidP="004B4A44">
      <w:pPr>
        <w:ind w:left="7200" w:firstLine="720"/>
        <w:rPr>
          <w:rFonts w:ascii="Arial" w:hAnsi="Arial"/>
          <w:sz w:val="20"/>
          <w:lang w:val="es-ES"/>
        </w:rPr>
      </w:pPr>
      <w:r w:rsidRPr="00AB5F8F">
        <w:rPr>
          <w:rFonts w:ascii="Arial" w:hAnsi="Arial"/>
          <w:b/>
          <w:sz w:val="20"/>
          <w:lang w:val="es-ES"/>
        </w:rPr>
        <w:lastRenderedPageBreak/>
        <w:t xml:space="preserve">Página: </w:t>
      </w:r>
      <w:r>
        <w:rPr>
          <w:rFonts w:ascii="Arial" w:hAnsi="Arial"/>
          <w:sz w:val="20"/>
          <w:lang w:val="es-ES"/>
        </w:rPr>
        <w:t>3</w:t>
      </w:r>
      <w:r w:rsidR="009C3C6F">
        <w:rPr>
          <w:rFonts w:ascii="Arial" w:hAnsi="Arial"/>
          <w:sz w:val="20"/>
          <w:lang w:val="es-ES"/>
        </w:rPr>
        <w:t xml:space="preserve"> </w:t>
      </w:r>
      <w:r w:rsidR="009C3C6F" w:rsidRPr="009C3C6F">
        <w:rPr>
          <w:rFonts w:ascii="Arial" w:hAnsi="Arial"/>
          <w:b/>
          <w:sz w:val="20"/>
          <w:lang w:val="es-ES"/>
        </w:rPr>
        <w:t>de</w:t>
      </w:r>
      <w:r w:rsidR="009C3C6F">
        <w:rPr>
          <w:rFonts w:ascii="Arial" w:hAnsi="Arial"/>
          <w:sz w:val="20"/>
          <w:lang w:val="es-ES"/>
        </w:rPr>
        <w:t xml:space="preserve"> 3</w:t>
      </w:r>
    </w:p>
    <w:p w14:paraId="686C179A" w14:textId="77777777" w:rsidR="009B2C9B" w:rsidRDefault="009B2C9B" w:rsidP="009B2C9B">
      <w:pPr>
        <w:ind w:left="7200"/>
        <w:rPr>
          <w:rFonts w:ascii="Arial" w:hAnsi="Arial"/>
          <w:sz w:val="20"/>
          <w:szCs w:val="20"/>
          <w:lang w:val="es-ES"/>
        </w:rPr>
      </w:pPr>
    </w:p>
    <w:p w14:paraId="4E2D7580" w14:textId="288E6D14" w:rsidR="008E4746" w:rsidRPr="009B2C9B" w:rsidRDefault="008E4746">
      <w:pPr>
        <w:numPr>
          <w:ilvl w:val="0"/>
          <w:numId w:val="2"/>
        </w:numPr>
        <w:rPr>
          <w:rFonts w:ascii="Arial" w:hAnsi="Arial"/>
          <w:sz w:val="20"/>
          <w:szCs w:val="20"/>
          <w:lang w:val="es-ES"/>
        </w:rPr>
      </w:pPr>
      <w:r w:rsidRPr="009B2C9B">
        <w:rPr>
          <w:rFonts w:ascii="Arial" w:hAnsi="Arial"/>
          <w:sz w:val="20"/>
          <w:szCs w:val="20"/>
          <w:lang w:val="es-ES"/>
        </w:rPr>
        <w:t xml:space="preserve">La agencia documentará toda la correspondencia, ya sea escrita o verbal, en un sistema separado. Se elaborarán notas para el hospital a pedido. </w:t>
      </w:r>
    </w:p>
    <w:p w14:paraId="410197BA" w14:textId="77777777" w:rsidR="008E4746" w:rsidRPr="009B2C9B" w:rsidRDefault="008E4746">
      <w:pPr>
        <w:numPr>
          <w:ilvl w:val="0"/>
          <w:numId w:val="2"/>
        </w:numPr>
        <w:rPr>
          <w:rFonts w:ascii="Arial" w:hAnsi="Arial"/>
          <w:sz w:val="20"/>
          <w:szCs w:val="20"/>
          <w:lang w:val="es-ES"/>
        </w:rPr>
      </w:pPr>
      <w:r w:rsidRPr="009B2C9B">
        <w:rPr>
          <w:rFonts w:ascii="Arial" w:hAnsi="Arial"/>
          <w:sz w:val="20"/>
          <w:szCs w:val="20"/>
          <w:lang w:val="es-ES"/>
        </w:rPr>
        <w:t xml:space="preserve">Si luego de ese período no se ha emitido el pago o no se han hecho arreglos para resolver el saldo del paciente, la cuenta se devolverá a la institución para su ajuste o para llevar a cabo actividades de cobranza adicionales. </w:t>
      </w:r>
    </w:p>
    <w:p w14:paraId="75268772" w14:textId="77777777" w:rsidR="008E4746" w:rsidRPr="00AB5F8F" w:rsidRDefault="008E4746">
      <w:pPr>
        <w:rPr>
          <w:rFonts w:ascii="Arial" w:hAnsi="Arial"/>
          <w:sz w:val="20"/>
          <w:lang w:val="es-ES"/>
        </w:rPr>
      </w:pPr>
    </w:p>
    <w:p w14:paraId="62270830" w14:textId="28A5231A" w:rsidR="008E4746" w:rsidRPr="00AB5F8F" w:rsidRDefault="008E4746">
      <w:pPr>
        <w:rPr>
          <w:rFonts w:ascii="Arial" w:hAnsi="Arial"/>
          <w:lang w:val="es-ES"/>
        </w:rPr>
      </w:pPr>
      <w:r w:rsidRPr="00AB5F8F">
        <w:rPr>
          <w:rFonts w:ascii="Arial" w:hAnsi="Arial"/>
          <w:sz w:val="20"/>
          <w:lang w:val="es-ES"/>
        </w:rPr>
        <w:t xml:space="preserve">Toda cuenta que tenga un saldo pendiente se derivará a nuestra agencia de cobranza secundaria para que continúe con los esfuerzos de cobranza, que pueden incluir cartas, llamadas telefónicas entrantes y salientes y ayuda con el proceso de solicitud de asistencia financiera mediante el uso de una calificación adicional basada en la propensión a pagar. La agencia de cobranza secundaria devolverá todas las cuentas no resueltas luego de un período de seis meses, ya sea como devolución de caridad o si la cuenta tiene una calificación de 8-10, o si se considera incobrable. Cada agencia de cobranza tiene la obligación de enviar una liquidación detallada al finalizar el mes que incluya todos los pagos de las </w:t>
      </w:r>
      <w:r w:rsidR="009B2C9B" w:rsidRPr="00AB5F8F">
        <w:rPr>
          <w:rFonts w:ascii="Arial" w:hAnsi="Arial"/>
          <w:sz w:val="20"/>
          <w:lang w:val="es-ES"/>
        </w:rPr>
        <w:t>cuentas,</w:t>
      </w:r>
      <w:r w:rsidRPr="00AB5F8F">
        <w:rPr>
          <w:rFonts w:ascii="Arial" w:hAnsi="Arial"/>
          <w:sz w:val="20"/>
          <w:lang w:val="es-ES"/>
        </w:rPr>
        <w:t xml:space="preserve"> así como un detalle del paciente.</w:t>
      </w:r>
    </w:p>
    <w:p w14:paraId="0E72094F" w14:textId="77777777" w:rsidR="008E4746" w:rsidRPr="00AB5F8F" w:rsidRDefault="008E4746">
      <w:pPr>
        <w:rPr>
          <w:rFonts w:ascii="Arial" w:hAnsi="Arial"/>
          <w:sz w:val="20"/>
          <w:lang w:val="es-ES"/>
        </w:rPr>
      </w:pPr>
      <w:r w:rsidRPr="00AB5F8F">
        <w:rPr>
          <w:rFonts w:ascii="Arial" w:hAnsi="Arial"/>
          <w:sz w:val="20"/>
          <w:lang w:val="es-ES"/>
        </w:rPr>
        <w:tab/>
      </w:r>
      <w:r w:rsidRPr="00AB5F8F">
        <w:rPr>
          <w:rFonts w:ascii="Arial" w:hAnsi="Arial"/>
          <w:sz w:val="20"/>
          <w:lang w:val="es-ES"/>
        </w:rPr>
        <w:tab/>
      </w:r>
      <w:r w:rsidRPr="00AB5F8F">
        <w:rPr>
          <w:rFonts w:ascii="Arial" w:hAnsi="Arial"/>
          <w:sz w:val="20"/>
          <w:lang w:val="es-ES"/>
        </w:rPr>
        <w:tab/>
      </w:r>
      <w:r w:rsidRPr="00AB5F8F">
        <w:rPr>
          <w:rFonts w:ascii="Arial" w:hAnsi="Arial"/>
          <w:sz w:val="20"/>
          <w:lang w:val="es-ES"/>
        </w:rPr>
        <w:tab/>
      </w:r>
      <w:r w:rsidRPr="00AB5F8F">
        <w:rPr>
          <w:rFonts w:ascii="Arial" w:hAnsi="Arial"/>
          <w:sz w:val="20"/>
          <w:lang w:val="es-ES"/>
        </w:rPr>
        <w:tab/>
      </w:r>
      <w:r w:rsidRPr="00AB5F8F">
        <w:rPr>
          <w:rFonts w:ascii="Arial" w:hAnsi="Arial"/>
          <w:sz w:val="20"/>
          <w:lang w:val="es-ES"/>
        </w:rPr>
        <w:tab/>
      </w:r>
      <w:r w:rsidRPr="00AB5F8F">
        <w:rPr>
          <w:rFonts w:ascii="Arial" w:hAnsi="Arial"/>
          <w:sz w:val="20"/>
          <w:lang w:val="es-ES"/>
        </w:rPr>
        <w:tab/>
      </w:r>
      <w:r w:rsidRPr="00AB5F8F">
        <w:rPr>
          <w:rFonts w:ascii="Arial" w:hAnsi="Arial"/>
          <w:sz w:val="20"/>
          <w:lang w:val="es-ES"/>
        </w:rPr>
        <w:tab/>
      </w:r>
      <w:r w:rsidRPr="00AB5F8F">
        <w:rPr>
          <w:rFonts w:ascii="Arial" w:hAnsi="Arial"/>
          <w:sz w:val="20"/>
          <w:lang w:val="es-ES"/>
        </w:rPr>
        <w:tab/>
      </w:r>
    </w:p>
    <w:p w14:paraId="47DBD671" w14:textId="77777777" w:rsidR="008E4746" w:rsidRPr="00AB5F8F" w:rsidRDefault="008E4746">
      <w:pPr>
        <w:rPr>
          <w:rFonts w:ascii="Arial" w:hAnsi="Arial"/>
          <w:lang w:val="es-ES"/>
        </w:rPr>
      </w:pPr>
      <w:r w:rsidRPr="00AB5F8F">
        <w:rPr>
          <w:rFonts w:ascii="Arial" w:hAnsi="Arial"/>
          <w:sz w:val="20"/>
          <w:lang w:val="es-ES"/>
        </w:rPr>
        <w:t>El pago de un paciente para una cuenta que se encuentra en la categoría de deuda incobrable se puede enviar por correo postal directamente al hospital o a la agencia de cobranza</w:t>
      </w:r>
      <w:r w:rsidR="00FA7059">
        <w:rPr>
          <w:rFonts w:ascii="Arial" w:hAnsi="Arial"/>
          <w:sz w:val="20"/>
          <w:lang w:val="es-ES"/>
        </w:rPr>
        <w:t xml:space="preserve">. </w:t>
      </w:r>
      <w:r w:rsidRPr="00AB5F8F">
        <w:rPr>
          <w:rFonts w:ascii="Arial" w:hAnsi="Arial"/>
          <w:sz w:val="20"/>
          <w:lang w:val="es-ES"/>
        </w:rPr>
        <w:t>El pago recibido en el hospital se ingresa en la cuenta del paciente con la caja diaria, utilizando códigos de procedimiento para indicar el recupero de una deuda incobrable</w:t>
      </w:r>
      <w:r w:rsidR="00FA7059">
        <w:rPr>
          <w:rFonts w:ascii="Arial" w:hAnsi="Arial"/>
          <w:sz w:val="20"/>
          <w:lang w:val="es-ES"/>
        </w:rPr>
        <w:t xml:space="preserve">. </w:t>
      </w:r>
      <w:r w:rsidRPr="00AB5F8F">
        <w:rPr>
          <w:rFonts w:ascii="Arial" w:hAnsi="Arial"/>
          <w:sz w:val="20"/>
          <w:lang w:val="es-ES"/>
        </w:rPr>
        <w:t>El pago realizado directamente a la agencia de cobranza se compensará con los cargos de cobranza que se deban pagar a la agencia al finalizar el mes, y el recupero neto se enviará por correo al sector de caja del hospital.</w:t>
      </w:r>
    </w:p>
    <w:p w14:paraId="57BE9679" w14:textId="77777777" w:rsidR="008E4746" w:rsidRPr="00AB5F8F" w:rsidRDefault="008E4746">
      <w:pPr>
        <w:rPr>
          <w:lang w:val="es-ES"/>
        </w:rPr>
      </w:pPr>
    </w:p>
    <w:p w14:paraId="459F8F9A" w14:textId="77777777" w:rsidR="008E4746" w:rsidRDefault="008E4746">
      <w:pPr>
        <w:rPr>
          <w:rFonts w:ascii="Arial" w:hAnsi="Arial"/>
          <w:sz w:val="20"/>
          <w:lang w:val="es-ES"/>
        </w:rPr>
      </w:pPr>
      <w:r w:rsidRPr="00AB5F8F">
        <w:rPr>
          <w:rFonts w:ascii="Arial" w:hAnsi="Arial"/>
          <w:sz w:val="20"/>
          <w:lang w:val="es-ES"/>
        </w:rPr>
        <w:t xml:space="preserve">Las cuentas enviadas a cobranza por error se podrán retirar a criterio de la gerencia del hospital, con la correspondiente notificación y documentación de la cuenta. </w:t>
      </w:r>
    </w:p>
    <w:p w14:paraId="1554D326" w14:textId="77777777" w:rsidR="005B3700" w:rsidRDefault="005B3700">
      <w:pPr>
        <w:rPr>
          <w:rFonts w:ascii="Arial" w:hAnsi="Arial"/>
          <w:sz w:val="20"/>
          <w:lang w:val="es-ES"/>
        </w:rPr>
      </w:pPr>
    </w:p>
    <w:p w14:paraId="7235283A" w14:textId="67DA714A" w:rsidR="005B3700" w:rsidRDefault="005B3700">
      <w:pPr>
        <w:rPr>
          <w:rFonts w:ascii="Arial" w:hAnsi="Arial"/>
          <w:sz w:val="20"/>
          <w:lang w:val="es-ES"/>
        </w:rPr>
      </w:pPr>
      <w:r w:rsidRPr="00F6114A">
        <w:rPr>
          <w:rFonts w:ascii="Arial" w:hAnsi="Arial"/>
          <w:b/>
          <w:i/>
          <w:sz w:val="20"/>
          <w:u w:val="single"/>
          <w:lang w:val="es-ES"/>
        </w:rPr>
        <w:t>ESTUDIOS FINANCIADOS POR UN HOSPITAL, EL ESTADO DE NUEVA YORK</w:t>
      </w:r>
      <w:r w:rsidR="00F6114A">
        <w:rPr>
          <w:rFonts w:ascii="Arial" w:hAnsi="Arial"/>
          <w:b/>
          <w:i/>
          <w:sz w:val="20"/>
          <w:u w:val="single"/>
          <w:lang w:val="es-ES"/>
        </w:rPr>
        <w:t>,</w:t>
      </w:r>
      <w:r w:rsidRPr="00F6114A">
        <w:rPr>
          <w:rFonts w:ascii="Arial" w:hAnsi="Arial"/>
          <w:b/>
          <w:i/>
          <w:sz w:val="20"/>
          <w:u w:val="single"/>
          <w:lang w:val="es-ES"/>
        </w:rPr>
        <w:t xml:space="preserve"> O CON FONDOS FEDERALES:</w:t>
      </w:r>
      <w:r>
        <w:rPr>
          <w:rFonts w:ascii="Arial" w:hAnsi="Arial"/>
          <w:sz w:val="20"/>
          <w:lang w:val="es-ES"/>
        </w:rPr>
        <w:t xml:space="preserve"> A los pacientes que, debido a problemas de salud, participen en estudios o programas, </w:t>
      </w:r>
      <w:r w:rsidR="00F6114A">
        <w:rPr>
          <w:rFonts w:ascii="Arial" w:hAnsi="Arial"/>
          <w:sz w:val="20"/>
          <w:lang w:val="es-ES"/>
        </w:rPr>
        <w:t>podrían no facturá</w:t>
      </w:r>
      <w:r>
        <w:rPr>
          <w:rFonts w:ascii="Arial" w:hAnsi="Arial"/>
          <w:sz w:val="20"/>
          <w:lang w:val="es-ES"/>
        </w:rPr>
        <w:t>r</w:t>
      </w:r>
      <w:r w:rsidR="00F6114A">
        <w:rPr>
          <w:rFonts w:ascii="Arial" w:hAnsi="Arial"/>
          <w:sz w:val="20"/>
          <w:lang w:val="es-ES"/>
        </w:rPr>
        <w:t>seles</w:t>
      </w:r>
      <w:r>
        <w:rPr>
          <w:rFonts w:ascii="Arial" w:hAnsi="Arial"/>
          <w:sz w:val="20"/>
          <w:lang w:val="es-ES"/>
        </w:rPr>
        <w:t xml:space="preserve"> los servicios prestados, </w:t>
      </w:r>
      <w:r w:rsidR="00F6114A">
        <w:rPr>
          <w:rFonts w:ascii="Arial" w:hAnsi="Arial"/>
          <w:sz w:val="20"/>
          <w:lang w:val="es-ES"/>
        </w:rPr>
        <w:t>con base en cada</w:t>
      </w:r>
      <w:r>
        <w:rPr>
          <w:rFonts w:ascii="Arial" w:hAnsi="Arial"/>
          <w:sz w:val="20"/>
          <w:lang w:val="es-ES"/>
        </w:rPr>
        <w:t xml:space="preserve"> caso</w:t>
      </w:r>
      <w:r w:rsidR="00F6114A">
        <w:rPr>
          <w:rFonts w:ascii="Arial" w:hAnsi="Arial"/>
          <w:sz w:val="20"/>
          <w:lang w:val="es-ES"/>
        </w:rPr>
        <w:t xml:space="preserve"> individual (dependiendo del tipo de programa y del patrocinio)</w:t>
      </w:r>
      <w:r>
        <w:rPr>
          <w:rFonts w:ascii="Arial" w:hAnsi="Arial"/>
          <w:sz w:val="20"/>
          <w:lang w:val="es-ES"/>
        </w:rPr>
        <w:t>.</w:t>
      </w:r>
    </w:p>
    <w:p w14:paraId="42390EE1" w14:textId="21FCB644" w:rsidR="004B4A44" w:rsidRDefault="004B4A44">
      <w:pPr>
        <w:rPr>
          <w:rFonts w:ascii="Arial" w:hAnsi="Arial"/>
          <w:sz w:val="20"/>
          <w:lang w:val="es-ES"/>
        </w:rPr>
      </w:pPr>
    </w:p>
    <w:p w14:paraId="76E91116" w14:textId="664176A5" w:rsidR="004B4A44" w:rsidRDefault="004B4A44">
      <w:pPr>
        <w:rPr>
          <w:rFonts w:ascii="Arial" w:hAnsi="Arial"/>
          <w:sz w:val="20"/>
          <w:lang w:val="es-ES"/>
        </w:rPr>
      </w:pPr>
    </w:p>
    <w:p w14:paraId="7871894E" w14:textId="36AD6EB8" w:rsidR="004B4A44" w:rsidRDefault="004B4A44">
      <w:pPr>
        <w:rPr>
          <w:rFonts w:ascii="Arial" w:hAnsi="Arial"/>
          <w:sz w:val="20"/>
          <w:lang w:val="es-ES"/>
        </w:rPr>
      </w:pPr>
    </w:p>
    <w:p w14:paraId="367D6C93" w14:textId="04BB142E" w:rsidR="004B4A44" w:rsidRDefault="004B4A44">
      <w:pPr>
        <w:rPr>
          <w:rFonts w:ascii="Arial" w:hAnsi="Arial"/>
          <w:sz w:val="20"/>
          <w:lang w:val="es-ES"/>
        </w:rPr>
      </w:pPr>
    </w:p>
    <w:p w14:paraId="1801D4D9" w14:textId="194F3BC9" w:rsidR="004B4A44" w:rsidRDefault="004B4A44">
      <w:pPr>
        <w:rPr>
          <w:rFonts w:ascii="Arial" w:hAnsi="Arial"/>
          <w:sz w:val="20"/>
          <w:lang w:val="es-ES"/>
        </w:rPr>
      </w:pPr>
    </w:p>
    <w:p w14:paraId="0FB55548" w14:textId="69CFDA31" w:rsidR="004B4A44" w:rsidRPr="00AB5F8F" w:rsidRDefault="004B4A44">
      <w:pPr>
        <w:rPr>
          <w:rFonts w:ascii="Arial" w:hAnsi="Arial"/>
          <w:sz w:val="20"/>
          <w:lang w:val="es-ES"/>
        </w:rPr>
      </w:pPr>
      <w:r w:rsidRPr="00B26717">
        <w:rPr>
          <w:rFonts w:ascii="Arial" w:hAnsi="Arial"/>
          <w:b/>
          <w:sz w:val="20"/>
          <w:u w:val="single"/>
          <w:lang w:val="es-ES"/>
        </w:rPr>
        <w:t>La política se deberá revisar en</w:t>
      </w:r>
      <w:r w:rsidRPr="00B26717">
        <w:rPr>
          <w:rFonts w:ascii="Arial" w:hAnsi="Arial"/>
          <w:b/>
          <w:sz w:val="20"/>
          <w:lang w:val="es-ES"/>
        </w:rPr>
        <w:t>:</w:t>
      </w:r>
      <w:r>
        <w:rPr>
          <w:rFonts w:ascii="Arial" w:hAnsi="Arial"/>
          <w:b/>
          <w:sz w:val="20"/>
          <w:lang w:val="es-ES"/>
        </w:rPr>
        <w:t xml:space="preserve"> </w:t>
      </w:r>
      <w:r w:rsidRPr="004B4A44">
        <w:rPr>
          <w:rFonts w:ascii="Arial" w:hAnsi="Arial"/>
          <w:bCs/>
          <w:i/>
          <w:iCs/>
          <w:sz w:val="20"/>
          <w:lang w:val="es-ES"/>
        </w:rPr>
        <w:t>11/20</w:t>
      </w:r>
    </w:p>
    <w:sectPr w:rsidR="004B4A44" w:rsidRPr="00AB5F8F" w:rsidSect="004B4A4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DC77" w14:textId="77777777" w:rsidR="0088203B" w:rsidRDefault="0088203B" w:rsidP="00EF0A8B">
      <w:r>
        <w:separator/>
      </w:r>
    </w:p>
  </w:endnote>
  <w:endnote w:type="continuationSeparator" w:id="0">
    <w:p w14:paraId="43A2135B" w14:textId="77777777" w:rsidR="0088203B" w:rsidRDefault="0088203B" w:rsidP="00EF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CA2B2" w14:textId="77777777" w:rsidR="0088203B" w:rsidRDefault="0088203B" w:rsidP="00EF0A8B">
      <w:r>
        <w:separator/>
      </w:r>
    </w:p>
  </w:footnote>
  <w:footnote w:type="continuationSeparator" w:id="0">
    <w:p w14:paraId="393763E0" w14:textId="77777777" w:rsidR="0088203B" w:rsidRDefault="0088203B" w:rsidP="00EF0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57F"/>
    <w:multiLevelType w:val="hybridMultilevel"/>
    <w:tmpl w:val="0D1C51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8D4E0B"/>
    <w:multiLevelType w:val="hybridMultilevel"/>
    <w:tmpl w:val="8DA6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30F13"/>
    <w:multiLevelType w:val="hybridMultilevel"/>
    <w:tmpl w:val="95FE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7D"/>
    <w:rsid w:val="0000032A"/>
    <w:rsid w:val="00003777"/>
    <w:rsid w:val="00007C80"/>
    <w:rsid w:val="00010E91"/>
    <w:rsid w:val="00011565"/>
    <w:rsid w:val="0001225A"/>
    <w:rsid w:val="000161D4"/>
    <w:rsid w:val="000200CC"/>
    <w:rsid w:val="00020AA6"/>
    <w:rsid w:val="000234DB"/>
    <w:rsid w:val="00024A55"/>
    <w:rsid w:val="00024AB3"/>
    <w:rsid w:val="00026519"/>
    <w:rsid w:val="00030291"/>
    <w:rsid w:val="0003254D"/>
    <w:rsid w:val="000328EC"/>
    <w:rsid w:val="00033240"/>
    <w:rsid w:val="00035EE8"/>
    <w:rsid w:val="000360D2"/>
    <w:rsid w:val="00036EB6"/>
    <w:rsid w:val="000436EA"/>
    <w:rsid w:val="00044C9C"/>
    <w:rsid w:val="00052306"/>
    <w:rsid w:val="00054E9A"/>
    <w:rsid w:val="000579A3"/>
    <w:rsid w:val="00060B2C"/>
    <w:rsid w:val="00060CD1"/>
    <w:rsid w:val="0006440A"/>
    <w:rsid w:val="0006534F"/>
    <w:rsid w:val="00066B5A"/>
    <w:rsid w:val="000676AE"/>
    <w:rsid w:val="00070F62"/>
    <w:rsid w:val="0007155C"/>
    <w:rsid w:val="00071A0B"/>
    <w:rsid w:val="0007647C"/>
    <w:rsid w:val="000832BC"/>
    <w:rsid w:val="0008464A"/>
    <w:rsid w:val="0008574E"/>
    <w:rsid w:val="000872BB"/>
    <w:rsid w:val="0009023A"/>
    <w:rsid w:val="00091074"/>
    <w:rsid w:val="00092B17"/>
    <w:rsid w:val="00093810"/>
    <w:rsid w:val="000A5B64"/>
    <w:rsid w:val="000A657E"/>
    <w:rsid w:val="000A65C9"/>
    <w:rsid w:val="000A713B"/>
    <w:rsid w:val="000B029B"/>
    <w:rsid w:val="000B2824"/>
    <w:rsid w:val="000B3012"/>
    <w:rsid w:val="000B6C90"/>
    <w:rsid w:val="000C1FA4"/>
    <w:rsid w:val="000C2BEC"/>
    <w:rsid w:val="000C3757"/>
    <w:rsid w:val="000C422D"/>
    <w:rsid w:val="000C6956"/>
    <w:rsid w:val="000C7703"/>
    <w:rsid w:val="000C7BB2"/>
    <w:rsid w:val="000D02FD"/>
    <w:rsid w:val="000D18FB"/>
    <w:rsid w:val="000D33B0"/>
    <w:rsid w:val="000D61B0"/>
    <w:rsid w:val="000E0880"/>
    <w:rsid w:val="000E1DE1"/>
    <w:rsid w:val="000E23D3"/>
    <w:rsid w:val="000E2ACE"/>
    <w:rsid w:val="000E2FD7"/>
    <w:rsid w:val="000E5074"/>
    <w:rsid w:val="000F0010"/>
    <w:rsid w:val="000F3C39"/>
    <w:rsid w:val="000F6BFA"/>
    <w:rsid w:val="000F6E27"/>
    <w:rsid w:val="000F72AD"/>
    <w:rsid w:val="000F789D"/>
    <w:rsid w:val="0010113F"/>
    <w:rsid w:val="00101A15"/>
    <w:rsid w:val="00101A6C"/>
    <w:rsid w:val="00102B14"/>
    <w:rsid w:val="00105BDE"/>
    <w:rsid w:val="001108FA"/>
    <w:rsid w:val="00112A6B"/>
    <w:rsid w:val="00115AD1"/>
    <w:rsid w:val="00117827"/>
    <w:rsid w:val="00117D78"/>
    <w:rsid w:val="00120BC6"/>
    <w:rsid w:val="00121EB4"/>
    <w:rsid w:val="00121EF5"/>
    <w:rsid w:val="001225E4"/>
    <w:rsid w:val="001238EF"/>
    <w:rsid w:val="0012412C"/>
    <w:rsid w:val="0012502F"/>
    <w:rsid w:val="001252DB"/>
    <w:rsid w:val="00130248"/>
    <w:rsid w:val="00132C06"/>
    <w:rsid w:val="001414CF"/>
    <w:rsid w:val="00142B4D"/>
    <w:rsid w:val="00144340"/>
    <w:rsid w:val="00145722"/>
    <w:rsid w:val="0014626B"/>
    <w:rsid w:val="001466C4"/>
    <w:rsid w:val="00147B23"/>
    <w:rsid w:val="00154C89"/>
    <w:rsid w:val="00154FF1"/>
    <w:rsid w:val="00156A87"/>
    <w:rsid w:val="00157BC7"/>
    <w:rsid w:val="0016179A"/>
    <w:rsid w:val="00163418"/>
    <w:rsid w:val="001634CF"/>
    <w:rsid w:val="00164412"/>
    <w:rsid w:val="0017058A"/>
    <w:rsid w:val="00173195"/>
    <w:rsid w:val="0017587C"/>
    <w:rsid w:val="0018058A"/>
    <w:rsid w:val="00181A38"/>
    <w:rsid w:val="001836AC"/>
    <w:rsid w:val="001877B6"/>
    <w:rsid w:val="001909D8"/>
    <w:rsid w:val="00192114"/>
    <w:rsid w:val="00193804"/>
    <w:rsid w:val="001A133E"/>
    <w:rsid w:val="001A1489"/>
    <w:rsid w:val="001A292B"/>
    <w:rsid w:val="001A37BC"/>
    <w:rsid w:val="001A5163"/>
    <w:rsid w:val="001A6D7F"/>
    <w:rsid w:val="001B0318"/>
    <w:rsid w:val="001B1746"/>
    <w:rsid w:val="001B33C3"/>
    <w:rsid w:val="001B432B"/>
    <w:rsid w:val="001B7BC1"/>
    <w:rsid w:val="001C2789"/>
    <w:rsid w:val="001C6EC7"/>
    <w:rsid w:val="001C7610"/>
    <w:rsid w:val="001C7C89"/>
    <w:rsid w:val="001D0B45"/>
    <w:rsid w:val="001D0B81"/>
    <w:rsid w:val="001D141B"/>
    <w:rsid w:val="001D1B7A"/>
    <w:rsid w:val="001D3CEC"/>
    <w:rsid w:val="001D578A"/>
    <w:rsid w:val="001D681A"/>
    <w:rsid w:val="001D7D32"/>
    <w:rsid w:val="001E13F6"/>
    <w:rsid w:val="001E36F7"/>
    <w:rsid w:val="001E5189"/>
    <w:rsid w:val="001E5FB2"/>
    <w:rsid w:val="001E6B88"/>
    <w:rsid w:val="001F1F8F"/>
    <w:rsid w:val="001F2E6F"/>
    <w:rsid w:val="001F35DA"/>
    <w:rsid w:val="001F45A0"/>
    <w:rsid w:val="001F6970"/>
    <w:rsid w:val="001F6CC5"/>
    <w:rsid w:val="00200165"/>
    <w:rsid w:val="00200AFA"/>
    <w:rsid w:val="002014AC"/>
    <w:rsid w:val="00201C0D"/>
    <w:rsid w:val="00202270"/>
    <w:rsid w:val="00203394"/>
    <w:rsid w:val="00203CA8"/>
    <w:rsid w:val="00204A6F"/>
    <w:rsid w:val="002103A6"/>
    <w:rsid w:val="00211303"/>
    <w:rsid w:val="00211821"/>
    <w:rsid w:val="002126C1"/>
    <w:rsid w:val="00213201"/>
    <w:rsid w:val="00217E12"/>
    <w:rsid w:val="00217E75"/>
    <w:rsid w:val="00224CA5"/>
    <w:rsid w:val="00226060"/>
    <w:rsid w:val="00231AD3"/>
    <w:rsid w:val="0024145B"/>
    <w:rsid w:val="00241D3C"/>
    <w:rsid w:val="002426DB"/>
    <w:rsid w:val="00243FF1"/>
    <w:rsid w:val="00244200"/>
    <w:rsid w:val="002460E9"/>
    <w:rsid w:val="00247130"/>
    <w:rsid w:val="002528C0"/>
    <w:rsid w:val="0025530C"/>
    <w:rsid w:val="00257599"/>
    <w:rsid w:val="0026288E"/>
    <w:rsid w:val="00266EA6"/>
    <w:rsid w:val="002714A7"/>
    <w:rsid w:val="00275C09"/>
    <w:rsid w:val="002800A9"/>
    <w:rsid w:val="002816E2"/>
    <w:rsid w:val="00284A48"/>
    <w:rsid w:val="00286D56"/>
    <w:rsid w:val="00287691"/>
    <w:rsid w:val="00290E20"/>
    <w:rsid w:val="002916A5"/>
    <w:rsid w:val="00293014"/>
    <w:rsid w:val="002938F4"/>
    <w:rsid w:val="00295C8C"/>
    <w:rsid w:val="002961A7"/>
    <w:rsid w:val="002A1A96"/>
    <w:rsid w:val="002A347F"/>
    <w:rsid w:val="002A39B9"/>
    <w:rsid w:val="002A3FC2"/>
    <w:rsid w:val="002A69D8"/>
    <w:rsid w:val="002A6B6F"/>
    <w:rsid w:val="002A7EDB"/>
    <w:rsid w:val="002B4316"/>
    <w:rsid w:val="002B528A"/>
    <w:rsid w:val="002B5B10"/>
    <w:rsid w:val="002B5D47"/>
    <w:rsid w:val="002B6FE6"/>
    <w:rsid w:val="002B71C2"/>
    <w:rsid w:val="002B767B"/>
    <w:rsid w:val="002B7E63"/>
    <w:rsid w:val="002C31FB"/>
    <w:rsid w:val="002C718F"/>
    <w:rsid w:val="002D0B18"/>
    <w:rsid w:val="002D3438"/>
    <w:rsid w:val="002D6593"/>
    <w:rsid w:val="002E15B4"/>
    <w:rsid w:val="002E2AD2"/>
    <w:rsid w:val="002F00DF"/>
    <w:rsid w:val="002F3647"/>
    <w:rsid w:val="002F3FC2"/>
    <w:rsid w:val="002F589A"/>
    <w:rsid w:val="002F68A8"/>
    <w:rsid w:val="0030227A"/>
    <w:rsid w:val="0031005B"/>
    <w:rsid w:val="003114CC"/>
    <w:rsid w:val="00311751"/>
    <w:rsid w:val="00312E2F"/>
    <w:rsid w:val="003223C7"/>
    <w:rsid w:val="00323117"/>
    <w:rsid w:val="00323A08"/>
    <w:rsid w:val="00325765"/>
    <w:rsid w:val="00327696"/>
    <w:rsid w:val="003330D2"/>
    <w:rsid w:val="00337511"/>
    <w:rsid w:val="003402A4"/>
    <w:rsid w:val="0034093B"/>
    <w:rsid w:val="003409A2"/>
    <w:rsid w:val="00343192"/>
    <w:rsid w:val="00343F09"/>
    <w:rsid w:val="00344AF5"/>
    <w:rsid w:val="003462A0"/>
    <w:rsid w:val="00352776"/>
    <w:rsid w:val="00352E14"/>
    <w:rsid w:val="00355ECC"/>
    <w:rsid w:val="00355FE7"/>
    <w:rsid w:val="00356A31"/>
    <w:rsid w:val="00357D16"/>
    <w:rsid w:val="00364D75"/>
    <w:rsid w:val="00366866"/>
    <w:rsid w:val="00370724"/>
    <w:rsid w:val="00370B43"/>
    <w:rsid w:val="00374A9F"/>
    <w:rsid w:val="003767AA"/>
    <w:rsid w:val="003773C6"/>
    <w:rsid w:val="00377A65"/>
    <w:rsid w:val="00380BB4"/>
    <w:rsid w:val="00384970"/>
    <w:rsid w:val="00384DD9"/>
    <w:rsid w:val="00386463"/>
    <w:rsid w:val="003866B9"/>
    <w:rsid w:val="003878E7"/>
    <w:rsid w:val="0039008A"/>
    <w:rsid w:val="00390714"/>
    <w:rsid w:val="0039092D"/>
    <w:rsid w:val="0039255B"/>
    <w:rsid w:val="0039353F"/>
    <w:rsid w:val="00394733"/>
    <w:rsid w:val="00396800"/>
    <w:rsid w:val="003968A1"/>
    <w:rsid w:val="003A2685"/>
    <w:rsid w:val="003A2ED7"/>
    <w:rsid w:val="003A4BB2"/>
    <w:rsid w:val="003A6EEA"/>
    <w:rsid w:val="003B0775"/>
    <w:rsid w:val="003B5810"/>
    <w:rsid w:val="003B63A7"/>
    <w:rsid w:val="003C062E"/>
    <w:rsid w:val="003C06B0"/>
    <w:rsid w:val="003C1A0F"/>
    <w:rsid w:val="003C1BEC"/>
    <w:rsid w:val="003C2A57"/>
    <w:rsid w:val="003C3A7A"/>
    <w:rsid w:val="003C6BEF"/>
    <w:rsid w:val="003C7394"/>
    <w:rsid w:val="003D0B9B"/>
    <w:rsid w:val="003D1162"/>
    <w:rsid w:val="003D1B51"/>
    <w:rsid w:val="003D1D99"/>
    <w:rsid w:val="003D3712"/>
    <w:rsid w:val="003D6294"/>
    <w:rsid w:val="003E7652"/>
    <w:rsid w:val="003F0F00"/>
    <w:rsid w:val="003F14B8"/>
    <w:rsid w:val="003F17CB"/>
    <w:rsid w:val="003F2409"/>
    <w:rsid w:val="003F4AC3"/>
    <w:rsid w:val="003F6A25"/>
    <w:rsid w:val="00403FEE"/>
    <w:rsid w:val="00405435"/>
    <w:rsid w:val="00405F2D"/>
    <w:rsid w:val="004105CF"/>
    <w:rsid w:val="0041076F"/>
    <w:rsid w:val="00411722"/>
    <w:rsid w:val="00412915"/>
    <w:rsid w:val="0041429B"/>
    <w:rsid w:val="00415AD8"/>
    <w:rsid w:val="0042026D"/>
    <w:rsid w:val="00421A04"/>
    <w:rsid w:val="004245B7"/>
    <w:rsid w:val="00424E64"/>
    <w:rsid w:val="004318A0"/>
    <w:rsid w:val="00432F3D"/>
    <w:rsid w:val="0043609E"/>
    <w:rsid w:val="0044155B"/>
    <w:rsid w:val="0044310B"/>
    <w:rsid w:val="0044338C"/>
    <w:rsid w:val="004437AE"/>
    <w:rsid w:val="004466D9"/>
    <w:rsid w:val="00447694"/>
    <w:rsid w:val="00447C95"/>
    <w:rsid w:val="0045089D"/>
    <w:rsid w:val="004535F4"/>
    <w:rsid w:val="00455ACA"/>
    <w:rsid w:val="00456689"/>
    <w:rsid w:val="00457A2E"/>
    <w:rsid w:val="0046009F"/>
    <w:rsid w:val="004614CA"/>
    <w:rsid w:val="0046265C"/>
    <w:rsid w:val="0046273D"/>
    <w:rsid w:val="0046386A"/>
    <w:rsid w:val="00463ABF"/>
    <w:rsid w:val="004664F0"/>
    <w:rsid w:val="00466954"/>
    <w:rsid w:val="00466DAE"/>
    <w:rsid w:val="004708C1"/>
    <w:rsid w:val="00471188"/>
    <w:rsid w:val="004718CB"/>
    <w:rsid w:val="00471C2F"/>
    <w:rsid w:val="00475180"/>
    <w:rsid w:val="00477416"/>
    <w:rsid w:val="004776B3"/>
    <w:rsid w:val="0048156C"/>
    <w:rsid w:val="00481734"/>
    <w:rsid w:val="00481F51"/>
    <w:rsid w:val="004823B3"/>
    <w:rsid w:val="00485EA4"/>
    <w:rsid w:val="00486053"/>
    <w:rsid w:val="0049008E"/>
    <w:rsid w:val="00493B66"/>
    <w:rsid w:val="00495AC0"/>
    <w:rsid w:val="004964C8"/>
    <w:rsid w:val="0049685F"/>
    <w:rsid w:val="004A0700"/>
    <w:rsid w:val="004A191E"/>
    <w:rsid w:val="004A2E22"/>
    <w:rsid w:val="004A3836"/>
    <w:rsid w:val="004A7FFA"/>
    <w:rsid w:val="004B1963"/>
    <w:rsid w:val="004B2D3A"/>
    <w:rsid w:val="004B3C1D"/>
    <w:rsid w:val="004B4A44"/>
    <w:rsid w:val="004B7D55"/>
    <w:rsid w:val="004C0825"/>
    <w:rsid w:val="004C0CB3"/>
    <w:rsid w:val="004C3400"/>
    <w:rsid w:val="004C4DA2"/>
    <w:rsid w:val="004C5049"/>
    <w:rsid w:val="004C5E3E"/>
    <w:rsid w:val="004D0927"/>
    <w:rsid w:val="004D5268"/>
    <w:rsid w:val="004D7235"/>
    <w:rsid w:val="004E0168"/>
    <w:rsid w:val="004E20EB"/>
    <w:rsid w:val="004E294D"/>
    <w:rsid w:val="004E36AC"/>
    <w:rsid w:val="004E44DB"/>
    <w:rsid w:val="004E552A"/>
    <w:rsid w:val="004E57D2"/>
    <w:rsid w:val="004E5C92"/>
    <w:rsid w:val="004E6264"/>
    <w:rsid w:val="004E7B36"/>
    <w:rsid w:val="004F012A"/>
    <w:rsid w:val="004F1B03"/>
    <w:rsid w:val="004F21F1"/>
    <w:rsid w:val="004F31DB"/>
    <w:rsid w:val="005006A1"/>
    <w:rsid w:val="005013C4"/>
    <w:rsid w:val="005026B0"/>
    <w:rsid w:val="00502C88"/>
    <w:rsid w:val="005041F8"/>
    <w:rsid w:val="00505693"/>
    <w:rsid w:val="005143F4"/>
    <w:rsid w:val="00514B77"/>
    <w:rsid w:val="00514D5D"/>
    <w:rsid w:val="005174F3"/>
    <w:rsid w:val="00520A3E"/>
    <w:rsid w:val="0052126F"/>
    <w:rsid w:val="00521ADD"/>
    <w:rsid w:val="0052231C"/>
    <w:rsid w:val="005250B9"/>
    <w:rsid w:val="0052610E"/>
    <w:rsid w:val="00527CBF"/>
    <w:rsid w:val="0053020C"/>
    <w:rsid w:val="005308C7"/>
    <w:rsid w:val="00530957"/>
    <w:rsid w:val="00531401"/>
    <w:rsid w:val="00534B17"/>
    <w:rsid w:val="005366F6"/>
    <w:rsid w:val="00537313"/>
    <w:rsid w:val="00540419"/>
    <w:rsid w:val="00544A4B"/>
    <w:rsid w:val="00551B44"/>
    <w:rsid w:val="0055426F"/>
    <w:rsid w:val="00554A5C"/>
    <w:rsid w:val="00557B32"/>
    <w:rsid w:val="0056082A"/>
    <w:rsid w:val="0056188F"/>
    <w:rsid w:val="005635C8"/>
    <w:rsid w:val="00563666"/>
    <w:rsid w:val="00563D7A"/>
    <w:rsid w:val="00564E8E"/>
    <w:rsid w:val="00571F09"/>
    <w:rsid w:val="005724E3"/>
    <w:rsid w:val="005778B7"/>
    <w:rsid w:val="00581104"/>
    <w:rsid w:val="005812D3"/>
    <w:rsid w:val="00582143"/>
    <w:rsid w:val="005833BC"/>
    <w:rsid w:val="005865FA"/>
    <w:rsid w:val="00591E97"/>
    <w:rsid w:val="00593A44"/>
    <w:rsid w:val="005A14D0"/>
    <w:rsid w:val="005A386B"/>
    <w:rsid w:val="005A7281"/>
    <w:rsid w:val="005B0689"/>
    <w:rsid w:val="005B24C1"/>
    <w:rsid w:val="005B2830"/>
    <w:rsid w:val="005B3700"/>
    <w:rsid w:val="005B7AC0"/>
    <w:rsid w:val="005B7F6E"/>
    <w:rsid w:val="005C165A"/>
    <w:rsid w:val="005C1E65"/>
    <w:rsid w:val="005C7748"/>
    <w:rsid w:val="005D0BFC"/>
    <w:rsid w:val="005D0C32"/>
    <w:rsid w:val="005D1127"/>
    <w:rsid w:val="005D1378"/>
    <w:rsid w:val="005D21C9"/>
    <w:rsid w:val="005D66B8"/>
    <w:rsid w:val="005E0510"/>
    <w:rsid w:val="005E37E0"/>
    <w:rsid w:val="005E4850"/>
    <w:rsid w:val="005E4AD8"/>
    <w:rsid w:val="005F1252"/>
    <w:rsid w:val="005F1336"/>
    <w:rsid w:val="005F30E5"/>
    <w:rsid w:val="005F4382"/>
    <w:rsid w:val="005F4858"/>
    <w:rsid w:val="005F6CB7"/>
    <w:rsid w:val="005F6D95"/>
    <w:rsid w:val="00602D7D"/>
    <w:rsid w:val="00604229"/>
    <w:rsid w:val="00610988"/>
    <w:rsid w:val="006116A7"/>
    <w:rsid w:val="006140F5"/>
    <w:rsid w:val="006141EA"/>
    <w:rsid w:val="006150CB"/>
    <w:rsid w:val="00620990"/>
    <w:rsid w:val="00621232"/>
    <w:rsid w:val="00622297"/>
    <w:rsid w:val="00622AE6"/>
    <w:rsid w:val="00623449"/>
    <w:rsid w:val="006244DB"/>
    <w:rsid w:val="00624D92"/>
    <w:rsid w:val="0063418D"/>
    <w:rsid w:val="00636316"/>
    <w:rsid w:val="00637E93"/>
    <w:rsid w:val="00643211"/>
    <w:rsid w:val="006440B6"/>
    <w:rsid w:val="0064602D"/>
    <w:rsid w:val="00652DCE"/>
    <w:rsid w:val="00653FA4"/>
    <w:rsid w:val="00654F92"/>
    <w:rsid w:val="006625EF"/>
    <w:rsid w:val="00666B5B"/>
    <w:rsid w:val="006711AF"/>
    <w:rsid w:val="00671CC4"/>
    <w:rsid w:val="00672CA0"/>
    <w:rsid w:val="00673588"/>
    <w:rsid w:val="006749CD"/>
    <w:rsid w:val="00675611"/>
    <w:rsid w:val="00676C99"/>
    <w:rsid w:val="006778A2"/>
    <w:rsid w:val="00682086"/>
    <w:rsid w:val="00682CA2"/>
    <w:rsid w:val="00684B7C"/>
    <w:rsid w:val="00685A0E"/>
    <w:rsid w:val="006869D2"/>
    <w:rsid w:val="00687016"/>
    <w:rsid w:val="006901E0"/>
    <w:rsid w:val="006920A7"/>
    <w:rsid w:val="00695085"/>
    <w:rsid w:val="0069587D"/>
    <w:rsid w:val="00696FF5"/>
    <w:rsid w:val="006A1332"/>
    <w:rsid w:val="006A624A"/>
    <w:rsid w:val="006A7251"/>
    <w:rsid w:val="006A7A45"/>
    <w:rsid w:val="006B0703"/>
    <w:rsid w:val="006B0FA7"/>
    <w:rsid w:val="006B27CB"/>
    <w:rsid w:val="006B410D"/>
    <w:rsid w:val="006B52D6"/>
    <w:rsid w:val="006B5305"/>
    <w:rsid w:val="006B603D"/>
    <w:rsid w:val="006C122B"/>
    <w:rsid w:val="006C554C"/>
    <w:rsid w:val="006D2C99"/>
    <w:rsid w:val="006D3215"/>
    <w:rsid w:val="006D4351"/>
    <w:rsid w:val="006D54CA"/>
    <w:rsid w:val="006E04FD"/>
    <w:rsid w:val="006E098A"/>
    <w:rsid w:val="006E0F93"/>
    <w:rsid w:val="006E4E9C"/>
    <w:rsid w:val="006E6174"/>
    <w:rsid w:val="006F1A9E"/>
    <w:rsid w:val="006F5E21"/>
    <w:rsid w:val="007030CA"/>
    <w:rsid w:val="0070327F"/>
    <w:rsid w:val="00705DDA"/>
    <w:rsid w:val="007105AF"/>
    <w:rsid w:val="00710C6F"/>
    <w:rsid w:val="007126A1"/>
    <w:rsid w:val="00717DEA"/>
    <w:rsid w:val="007214D5"/>
    <w:rsid w:val="00724D53"/>
    <w:rsid w:val="00727330"/>
    <w:rsid w:val="007277B5"/>
    <w:rsid w:val="00731271"/>
    <w:rsid w:val="0073173A"/>
    <w:rsid w:val="0073174F"/>
    <w:rsid w:val="007331D7"/>
    <w:rsid w:val="0073734C"/>
    <w:rsid w:val="0074300E"/>
    <w:rsid w:val="007514B6"/>
    <w:rsid w:val="00751727"/>
    <w:rsid w:val="00753A0E"/>
    <w:rsid w:val="00756224"/>
    <w:rsid w:val="00761BA3"/>
    <w:rsid w:val="00761F59"/>
    <w:rsid w:val="00766DFA"/>
    <w:rsid w:val="00771BE5"/>
    <w:rsid w:val="00773CFC"/>
    <w:rsid w:val="00773DA4"/>
    <w:rsid w:val="00773EE0"/>
    <w:rsid w:val="007766A8"/>
    <w:rsid w:val="00780C63"/>
    <w:rsid w:val="007833C5"/>
    <w:rsid w:val="00784AAA"/>
    <w:rsid w:val="007858E8"/>
    <w:rsid w:val="0078695F"/>
    <w:rsid w:val="0079008E"/>
    <w:rsid w:val="00790356"/>
    <w:rsid w:val="00790B14"/>
    <w:rsid w:val="0079125E"/>
    <w:rsid w:val="00793299"/>
    <w:rsid w:val="00793D06"/>
    <w:rsid w:val="007976DA"/>
    <w:rsid w:val="00797788"/>
    <w:rsid w:val="007A5119"/>
    <w:rsid w:val="007A6A3B"/>
    <w:rsid w:val="007B1D56"/>
    <w:rsid w:val="007B2D78"/>
    <w:rsid w:val="007B44F5"/>
    <w:rsid w:val="007C131C"/>
    <w:rsid w:val="007C396E"/>
    <w:rsid w:val="007C504B"/>
    <w:rsid w:val="007C5BB5"/>
    <w:rsid w:val="007C606A"/>
    <w:rsid w:val="007C6FC0"/>
    <w:rsid w:val="007D101B"/>
    <w:rsid w:val="007D1BA1"/>
    <w:rsid w:val="007D3DFF"/>
    <w:rsid w:val="007D701F"/>
    <w:rsid w:val="007E2B26"/>
    <w:rsid w:val="007E36C9"/>
    <w:rsid w:val="007E3B43"/>
    <w:rsid w:val="007E6ED7"/>
    <w:rsid w:val="007E7165"/>
    <w:rsid w:val="007F0DA3"/>
    <w:rsid w:val="007F1087"/>
    <w:rsid w:val="007F2B04"/>
    <w:rsid w:val="007F6DC8"/>
    <w:rsid w:val="00801342"/>
    <w:rsid w:val="00803991"/>
    <w:rsid w:val="0080417F"/>
    <w:rsid w:val="00804731"/>
    <w:rsid w:val="00804CC1"/>
    <w:rsid w:val="008051FE"/>
    <w:rsid w:val="008078CB"/>
    <w:rsid w:val="008122A0"/>
    <w:rsid w:val="008137A3"/>
    <w:rsid w:val="00815900"/>
    <w:rsid w:val="00816FF5"/>
    <w:rsid w:val="008178F4"/>
    <w:rsid w:val="00822451"/>
    <w:rsid w:val="00823A0E"/>
    <w:rsid w:val="008245EB"/>
    <w:rsid w:val="00830292"/>
    <w:rsid w:val="0083079C"/>
    <w:rsid w:val="00831876"/>
    <w:rsid w:val="008353D3"/>
    <w:rsid w:val="00836516"/>
    <w:rsid w:val="0084157B"/>
    <w:rsid w:val="008525F9"/>
    <w:rsid w:val="0086784B"/>
    <w:rsid w:val="00867FBA"/>
    <w:rsid w:val="00872553"/>
    <w:rsid w:val="00874B47"/>
    <w:rsid w:val="00877581"/>
    <w:rsid w:val="008803A0"/>
    <w:rsid w:val="0088203B"/>
    <w:rsid w:val="0088312F"/>
    <w:rsid w:val="00884C33"/>
    <w:rsid w:val="008873D7"/>
    <w:rsid w:val="008904D3"/>
    <w:rsid w:val="00891A32"/>
    <w:rsid w:val="008928F2"/>
    <w:rsid w:val="00894BF3"/>
    <w:rsid w:val="0089602A"/>
    <w:rsid w:val="00897B3A"/>
    <w:rsid w:val="008A01B4"/>
    <w:rsid w:val="008A07F3"/>
    <w:rsid w:val="008A28DD"/>
    <w:rsid w:val="008A56AD"/>
    <w:rsid w:val="008A7601"/>
    <w:rsid w:val="008B0888"/>
    <w:rsid w:val="008B4F09"/>
    <w:rsid w:val="008B6714"/>
    <w:rsid w:val="008C0DA7"/>
    <w:rsid w:val="008D17DF"/>
    <w:rsid w:val="008D7E94"/>
    <w:rsid w:val="008E0076"/>
    <w:rsid w:val="008E0D9A"/>
    <w:rsid w:val="008E144F"/>
    <w:rsid w:val="008E2915"/>
    <w:rsid w:val="008E3B5D"/>
    <w:rsid w:val="008E4746"/>
    <w:rsid w:val="008E542D"/>
    <w:rsid w:val="008E5EF6"/>
    <w:rsid w:val="008F687E"/>
    <w:rsid w:val="008F6B3F"/>
    <w:rsid w:val="008F7BC0"/>
    <w:rsid w:val="00900C81"/>
    <w:rsid w:val="00900D75"/>
    <w:rsid w:val="00902773"/>
    <w:rsid w:val="0090456D"/>
    <w:rsid w:val="00904733"/>
    <w:rsid w:val="00916B5B"/>
    <w:rsid w:val="0091732F"/>
    <w:rsid w:val="00920748"/>
    <w:rsid w:val="009224EB"/>
    <w:rsid w:val="00924021"/>
    <w:rsid w:val="00924425"/>
    <w:rsid w:val="00924B7E"/>
    <w:rsid w:val="00926B19"/>
    <w:rsid w:val="00931667"/>
    <w:rsid w:val="009324E4"/>
    <w:rsid w:val="00933B93"/>
    <w:rsid w:val="009353FE"/>
    <w:rsid w:val="009367F2"/>
    <w:rsid w:val="00940935"/>
    <w:rsid w:val="009414B0"/>
    <w:rsid w:val="009418F3"/>
    <w:rsid w:val="00943620"/>
    <w:rsid w:val="00946D41"/>
    <w:rsid w:val="009475BC"/>
    <w:rsid w:val="00950B5E"/>
    <w:rsid w:val="00953869"/>
    <w:rsid w:val="00953ED2"/>
    <w:rsid w:val="00957DCC"/>
    <w:rsid w:val="009625F3"/>
    <w:rsid w:val="00963F78"/>
    <w:rsid w:val="00966E76"/>
    <w:rsid w:val="0097052F"/>
    <w:rsid w:val="00971B0F"/>
    <w:rsid w:val="00975A57"/>
    <w:rsid w:val="00976A6F"/>
    <w:rsid w:val="00977857"/>
    <w:rsid w:val="0098237C"/>
    <w:rsid w:val="00983BA5"/>
    <w:rsid w:val="00983C41"/>
    <w:rsid w:val="009841F4"/>
    <w:rsid w:val="00984217"/>
    <w:rsid w:val="00984538"/>
    <w:rsid w:val="00984A7A"/>
    <w:rsid w:val="0098522F"/>
    <w:rsid w:val="00987AA4"/>
    <w:rsid w:val="00987AB0"/>
    <w:rsid w:val="0099330E"/>
    <w:rsid w:val="009940E7"/>
    <w:rsid w:val="009958A3"/>
    <w:rsid w:val="009A0F33"/>
    <w:rsid w:val="009A0FD6"/>
    <w:rsid w:val="009A4156"/>
    <w:rsid w:val="009B0001"/>
    <w:rsid w:val="009B25AE"/>
    <w:rsid w:val="009B278D"/>
    <w:rsid w:val="009B2C9B"/>
    <w:rsid w:val="009B30F3"/>
    <w:rsid w:val="009B348D"/>
    <w:rsid w:val="009B53AC"/>
    <w:rsid w:val="009B6889"/>
    <w:rsid w:val="009C1F7D"/>
    <w:rsid w:val="009C3451"/>
    <w:rsid w:val="009C3C6F"/>
    <w:rsid w:val="009C518D"/>
    <w:rsid w:val="009D56A2"/>
    <w:rsid w:val="009D5E84"/>
    <w:rsid w:val="009D732D"/>
    <w:rsid w:val="009E0D9C"/>
    <w:rsid w:val="009E0FAA"/>
    <w:rsid w:val="009E1F82"/>
    <w:rsid w:val="009E47D3"/>
    <w:rsid w:val="009E4F07"/>
    <w:rsid w:val="009E6113"/>
    <w:rsid w:val="009E68D2"/>
    <w:rsid w:val="009F2918"/>
    <w:rsid w:val="009F2A2D"/>
    <w:rsid w:val="009F3755"/>
    <w:rsid w:val="009F3BD1"/>
    <w:rsid w:val="009F4F92"/>
    <w:rsid w:val="009F5636"/>
    <w:rsid w:val="009F624C"/>
    <w:rsid w:val="009F7C2F"/>
    <w:rsid w:val="00A02CC8"/>
    <w:rsid w:val="00A047DB"/>
    <w:rsid w:val="00A077F8"/>
    <w:rsid w:val="00A1006A"/>
    <w:rsid w:val="00A111DE"/>
    <w:rsid w:val="00A12D10"/>
    <w:rsid w:val="00A17C80"/>
    <w:rsid w:val="00A214EE"/>
    <w:rsid w:val="00A25A28"/>
    <w:rsid w:val="00A26BA2"/>
    <w:rsid w:val="00A30818"/>
    <w:rsid w:val="00A35A5C"/>
    <w:rsid w:val="00A35F67"/>
    <w:rsid w:val="00A37AD7"/>
    <w:rsid w:val="00A41C7D"/>
    <w:rsid w:val="00A4217D"/>
    <w:rsid w:val="00A42950"/>
    <w:rsid w:val="00A42A96"/>
    <w:rsid w:val="00A45371"/>
    <w:rsid w:val="00A4660D"/>
    <w:rsid w:val="00A51FEB"/>
    <w:rsid w:val="00A53724"/>
    <w:rsid w:val="00A560DF"/>
    <w:rsid w:val="00A56618"/>
    <w:rsid w:val="00A57034"/>
    <w:rsid w:val="00A57654"/>
    <w:rsid w:val="00A57D10"/>
    <w:rsid w:val="00A57D3C"/>
    <w:rsid w:val="00A606E8"/>
    <w:rsid w:val="00A60E11"/>
    <w:rsid w:val="00A6319A"/>
    <w:rsid w:val="00A6529C"/>
    <w:rsid w:val="00A67A08"/>
    <w:rsid w:val="00A73FF4"/>
    <w:rsid w:val="00A75032"/>
    <w:rsid w:val="00A750CC"/>
    <w:rsid w:val="00A75102"/>
    <w:rsid w:val="00A77622"/>
    <w:rsid w:val="00A77755"/>
    <w:rsid w:val="00A80425"/>
    <w:rsid w:val="00A806AF"/>
    <w:rsid w:val="00A819A6"/>
    <w:rsid w:val="00A8219B"/>
    <w:rsid w:val="00A836FB"/>
    <w:rsid w:val="00A84255"/>
    <w:rsid w:val="00A85AA2"/>
    <w:rsid w:val="00A8705A"/>
    <w:rsid w:val="00A91BEF"/>
    <w:rsid w:val="00A9254A"/>
    <w:rsid w:val="00A934A3"/>
    <w:rsid w:val="00A95B6E"/>
    <w:rsid w:val="00A979D0"/>
    <w:rsid w:val="00A97F8E"/>
    <w:rsid w:val="00AA0B67"/>
    <w:rsid w:val="00AA0EBF"/>
    <w:rsid w:val="00AA10F2"/>
    <w:rsid w:val="00AA23C2"/>
    <w:rsid w:val="00AA2DC9"/>
    <w:rsid w:val="00AB19A6"/>
    <w:rsid w:val="00AB2A5F"/>
    <w:rsid w:val="00AB3689"/>
    <w:rsid w:val="00AB5F8F"/>
    <w:rsid w:val="00AC1AF1"/>
    <w:rsid w:val="00AD0883"/>
    <w:rsid w:val="00AD0C7F"/>
    <w:rsid w:val="00AD0FA8"/>
    <w:rsid w:val="00AD1FC8"/>
    <w:rsid w:val="00AD201F"/>
    <w:rsid w:val="00AD71FF"/>
    <w:rsid w:val="00AD74E7"/>
    <w:rsid w:val="00AE63DA"/>
    <w:rsid w:val="00AE67EE"/>
    <w:rsid w:val="00AE72FB"/>
    <w:rsid w:val="00AF5F21"/>
    <w:rsid w:val="00AF7E27"/>
    <w:rsid w:val="00B00C87"/>
    <w:rsid w:val="00B03B05"/>
    <w:rsid w:val="00B0446A"/>
    <w:rsid w:val="00B103E1"/>
    <w:rsid w:val="00B12423"/>
    <w:rsid w:val="00B1598F"/>
    <w:rsid w:val="00B16C28"/>
    <w:rsid w:val="00B175DC"/>
    <w:rsid w:val="00B20A59"/>
    <w:rsid w:val="00B2201C"/>
    <w:rsid w:val="00B23BEF"/>
    <w:rsid w:val="00B30A5B"/>
    <w:rsid w:val="00B30B00"/>
    <w:rsid w:val="00B336F5"/>
    <w:rsid w:val="00B33F0D"/>
    <w:rsid w:val="00B3510B"/>
    <w:rsid w:val="00B36FF0"/>
    <w:rsid w:val="00B42C2E"/>
    <w:rsid w:val="00B44CAD"/>
    <w:rsid w:val="00B53641"/>
    <w:rsid w:val="00B536A6"/>
    <w:rsid w:val="00B54341"/>
    <w:rsid w:val="00B5715A"/>
    <w:rsid w:val="00B6004D"/>
    <w:rsid w:val="00B60C2C"/>
    <w:rsid w:val="00B63980"/>
    <w:rsid w:val="00B65EE2"/>
    <w:rsid w:val="00B67726"/>
    <w:rsid w:val="00B7305A"/>
    <w:rsid w:val="00B735E7"/>
    <w:rsid w:val="00B738D5"/>
    <w:rsid w:val="00B7479C"/>
    <w:rsid w:val="00B76FE3"/>
    <w:rsid w:val="00B84B33"/>
    <w:rsid w:val="00B86934"/>
    <w:rsid w:val="00B86FB8"/>
    <w:rsid w:val="00B872DB"/>
    <w:rsid w:val="00B9078C"/>
    <w:rsid w:val="00B957F7"/>
    <w:rsid w:val="00B9664E"/>
    <w:rsid w:val="00B96EF1"/>
    <w:rsid w:val="00BA3549"/>
    <w:rsid w:val="00BA6FD7"/>
    <w:rsid w:val="00BB361B"/>
    <w:rsid w:val="00BB39D1"/>
    <w:rsid w:val="00BB41B3"/>
    <w:rsid w:val="00BB56AD"/>
    <w:rsid w:val="00BB6BD7"/>
    <w:rsid w:val="00BB789B"/>
    <w:rsid w:val="00BC05F0"/>
    <w:rsid w:val="00BC27FB"/>
    <w:rsid w:val="00BC61CB"/>
    <w:rsid w:val="00BC781C"/>
    <w:rsid w:val="00BD2A69"/>
    <w:rsid w:val="00BD2DB5"/>
    <w:rsid w:val="00BD5CA5"/>
    <w:rsid w:val="00BD60BF"/>
    <w:rsid w:val="00BD64A4"/>
    <w:rsid w:val="00BD69BE"/>
    <w:rsid w:val="00BD7E8E"/>
    <w:rsid w:val="00BE1CE2"/>
    <w:rsid w:val="00BE4574"/>
    <w:rsid w:val="00BE5E25"/>
    <w:rsid w:val="00BE6107"/>
    <w:rsid w:val="00BE7DF3"/>
    <w:rsid w:val="00BF1E2F"/>
    <w:rsid w:val="00BF1EF0"/>
    <w:rsid w:val="00BF258C"/>
    <w:rsid w:val="00BF2B18"/>
    <w:rsid w:val="00BF4192"/>
    <w:rsid w:val="00C018ED"/>
    <w:rsid w:val="00C02810"/>
    <w:rsid w:val="00C03FF0"/>
    <w:rsid w:val="00C046EB"/>
    <w:rsid w:val="00C05F26"/>
    <w:rsid w:val="00C07E36"/>
    <w:rsid w:val="00C11D92"/>
    <w:rsid w:val="00C1494C"/>
    <w:rsid w:val="00C15F39"/>
    <w:rsid w:val="00C178EA"/>
    <w:rsid w:val="00C202D2"/>
    <w:rsid w:val="00C2032F"/>
    <w:rsid w:val="00C20E34"/>
    <w:rsid w:val="00C22925"/>
    <w:rsid w:val="00C23398"/>
    <w:rsid w:val="00C27FCD"/>
    <w:rsid w:val="00C310C5"/>
    <w:rsid w:val="00C31134"/>
    <w:rsid w:val="00C317E1"/>
    <w:rsid w:val="00C32E56"/>
    <w:rsid w:val="00C3434D"/>
    <w:rsid w:val="00C34946"/>
    <w:rsid w:val="00C35433"/>
    <w:rsid w:val="00C4003B"/>
    <w:rsid w:val="00C44CAC"/>
    <w:rsid w:val="00C525CD"/>
    <w:rsid w:val="00C6017B"/>
    <w:rsid w:val="00C629D4"/>
    <w:rsid w:val="00C63AEB"/>
    <w:rsid w:val="00C64491"/>
    <w:rsid w:val="00C648AD"/>
    <w:rsid w:val="00C649FD"/>
    <w:rsid w:val="00C65543"/>
    <w:rsid w:val="00C70DDD"/>
    <w:rsid w:val="00C71F10"/>
    <w:rsid w:val="00C736F3"/>
    <w:rsid w:val="00C74256"/>
    <w:rsid w:val="00C74CE3"/>
    <w:rsid w:val="00C772D1"/>
    <w:rsid w:val="00C77B6A"/>
    <w:rsid w:val="00C83042"/>
    <w:rsid w:val="00C8393A"/>
    <w:rsid w:val="00C8530C"/>
    <w:rsid w:val="00C85F59"/>
    <w:rsid w:val="00C86529"/>
    <w:rsid w:val="00C90247"/>
    <w:rsid w:val="00C93565"/>
    <w:rsid w:val="00C9574F"/>
    <w:rsid w:val="00C96B65"/>
    <w:rsid w:val="00C96DD2"/>
    <w:rsid w:val="00CA2687"/>
    <w:rsid w:val="00CA32AC"/>
    <w:rsid w:val="00CA5F36"/>
    <w:rsid w:val="00CB728F"/>
    <w:rsid w:val="00CB775E"/>
    <w:rsid w:val="00CC14B8"/>
    <w:rsid w:val="00CC1B2C"/>
    <w:rsid w:val="00CC1C1D"/>
    <w:rsid w:val="00CC5917"/>
    <w:rsid w:val="00CC62EB"/>
    <w:rsid w:val="00CC70C0"/>
    <w:rsid w:val="00CD0A25"/>
    <w:rsid w:val="00CD112D"/>
    <w:rsid w:val="00CD64AB"/>
    <w:rsid w:val="00CD7836"/>
    <w:rsid w:val="00CE33E3"/>
    <w:rsid w:val="00CE4407"/>
    <w:rsid w:val="00CE4F0E"/>
    <w:rsid w:val="00CE5B01"/>
    <w:rsid w:val="00CE6C9E"/>
    <w:rsid w:val="00CE6DCD"/>
    <w:rsid w:val="00CE7F4D"/>
    <w:rsid w:val="00CF011D"/>
    <w:rsid w:val="00CF10CA"/>
    <w:rsid w:val="00CF1159"/>
    <w:rsid w:val="00CF2D54"/>
    <w:rsid w:val="00CF3C00"/>
    <w:rsid w:val="00CF493E"/>
    <w:rsid w:val="00CF6F96"/>
    <w:rsid w:val="00D001AA"/>
    <w:rsid w:val="00D0077B"/>
    <w:rsid w:val="00D010E1"/>
    <w:rsid w:val="00D02D10"/>
    <w:rsid w:val="00D0382B"/>
    <w:rsid w:val="00D0628A"/>
    <w:rsid w:val="00D06F39"/>
    <w:rsid w:val="00D07BE8"/>
    <w:rsid w:val="00D108C5"/>
    <w:rsid w:val="00D1093F"/>
    <w:rsid w:val="00D13707"/>
    <w:rsid w:val="00D13D5E"/>
    <w:rsid w:val="00D20881"/>
    <w:rsid w:val="00D22E4B"/>
    <w:rsid w:val="00D232C3"/>
    <w:rsid w:val="00D24CD2"/>
    <w:rsid w:val="00D2764F"/>
    <w:rsid w:val="00D31055"/>
    <w:rsid w:val="00D31765"/>
    <w:rsid w:val="00D33488"/>
    <w:rsid w:val="00D34F57"/>
    <w:rsid w:val="00D36469"/>
    <w:rsid w:val="00D40FB5"/>
    <w:rsid w:val="00D41FDF"/>
    <w:rsid w:val="00D423C1"/>
    <w:rsid w:val="00D43A8E"/>
    <w:rsid w:val="00D43D82"/>
    <w:rsid w:val="00D47A8C"/>
    <w:rsid w:val="00D529DB"/>
    <w:rsid w:val="00D531DA"/>
    <w:rsid w:val="00D62282"/>
    <w:rsid w:val="00D624C4"/>
    <w:rsid w:val="00D64C31"/>
    <w:rsid w:val="00D6775C"/>
    <w:rsid w:val="00D67BB9"/>
    <w:rsid w:val="00D716DB"/>
    <w:rsid w:val="00D8123B"/>
    <w:rsid w:val="00D8147E"/>
    <w:rsid w:val="00D85F24"/>
    <w:rsid w:val="00D85F64"/>
    <w:rsid w:val="00D8604B"/>
    <w:rsid w:val="00D87F20"/>
    <w:rsid w:val="00D90928"/>
    <w:rsid w:val="00D92F21"/>
    <w:rsid w:val="00D942A5"/>
    <w:rsid w:val="00D9557A"/>
    <w:rsid w:val="00D96FA5"/>
    <w:rsid w:val="00DA04B7"/>
    <w:rsid w:val="00DA0E4D"/>
    <w:rsid w:val="00DA128C"/>
    <w:rsid w:val="00DA162C"/>
    <w:rsid w:val="00DA2638"/>
    <w:rsid w:val="00DA2CF0"/>
    <w:rsid w:val="00DA53F6"/>
    <w:rsid w:val="00DA5B5D"/>
    <w:rsid w:val="00DA704C"/>
    <w:rsid w:val="00DB10DB"/>
    <w:rsid w:val="00DB181B"/>
    <w:rsid w:val="00DB2DA1"/>
    <w:rsid w:val="00DB54DE"/>
    <w:rsid w:val="00DB5641"/>
    <w:rsid w:val="00DB5B2B"/>
    <w:rsid w:val="00DB7203"/>
    <w:rsid w:val="00DC4434"/>
    <w:rsid w:val="00DC6793"/>
    <w:rsid w:val="00DD0636"/>
    <w:rsid w:val="00DD06B1"/>
    <w:rsid w:val="00DD07F9"/>
    <w:rsid w:val="00DD1F47"/>
    <w:rsid w:val="00DD7155"/>
    <w:rsid w:val="00DE09B6"/>
    <w:rsid w:val="00DE42B9"/>
    <w:rsid w:val="00DE45C4"/>
    <w:rsid w:val="00DE62F5"/>
    <w:rsid w:val="00DE6958"/>
    <w:rsid w:val="00DF083B"/>
    <w:rsid w:val="00DF3B33"/>
    <w:rsid w:val="00DF3BA3"/>
    <w:rsid w:val="00DF4197"/>
    <w:rsid w:val="00DF4F11"/>
    <w:rsid w:val="00DF64D5"/>
    <w:rsid w:val="00DF66D6"/>
    <w:rsid w:val="00E061DE"/>
    <w:rsid w:val="00E13CF7"/>
    <w:rsid w:val="00E15502"/>
    <w:rsid w:val="00E17D08"/>
    <w:rsid w:val="00E2150C"/>
    <w:rsid w:val="00E367AC"/>
    <w:rsid w:val="00E40C9F"/>
    <w:rsid w:val="00E439A0"/>
    <w:rsid w:val="00E51231"/>
    <w:rsid w:val="00E523E2"/>
    <w:rsid w:val="00E52DC7"/>
    <w:rsid w:val="00E573B6"/>
    <w:rsid w:val="00E57725"/>
    <w:rsid w:val="00E62AC2"/>
    <w:rsid w:val="00E63554"/>
    <w:rsid w:val="00E638DD"/>
    <w:rsid w:val="00E64F0D"/>
    <w:rsid w:val="00E65CF6"/>
    <w:rsid w:val="00E703AB"/>
    <w:rsid w:val="00E710F6"/>
    <w:rsid w:val="00E71E7F"/>
    <w:rsid w:val="00E724BD"/>
    <w:rsid w:val="00E724D5"/>
    <w:rsid w:val="00E72C3E"/>
    <w:rsid w:val="00E75FD3"/>
    <w:rsid w:val="00E854A7"/>
    <w:rsid w:val="00E93A8F"/>
    <w:rsid w:val="00E945A3"/>
    <w:rsid w:val="00E97621"/>
    <w:rsid w:val="00E97BB7"/>
    <w:rsid w:val="00EA0386"/>
    <w:rsid w:val="00EA0579"/>
    <w:rsid w:val="00EA0B4B"/>
    <w:rsid w:val="00EA0E9C"/>
    <w:rsid w:val="00EA106E"/>
    <w:rsid w:val="00EA342F"/>
    <w:rsid w:val="00EA3C5E"/>
    <w:rsid w:val="00EA50DC"/>
    <w:rsid w:val="00EA67B9"/>
    <w:rsid w:val="00EB29B9"/>
    <w:rsid w:val="00EB425D"/>
    <w:rsid w:val="00EB519D"/>
    <w:rsid w:val="00EB59D3"/>
    <w:rsid w:val="00EB783C"/>
    <w:rsid w:val="00EC0BB8"/>
    <w:rsid w:val="00EC3618"/>
    <w:rsid w:val="00EC3817"/>
    <w:rsid w:val="00EC3CD5"/>
    <w:rsid w:val="00EC6573"/>
    <w:rsid w:val="00ED13A2"/>
    <w:rsid w:val="00ED20CD"/>
    <w:rsid w:val="00ED30A4"/>
    <w:rsid w:val="00ED5C2F"/>
    <w:rsid w:val="00ED6FE8"/>
    <w:rsid w:val="00ED70C5"/>
    <w:rsid w:val="00EE0436"/>
    <w:rsid w:val="00EE217B"/>
    <w:rsid w:val="00EE3E1F"/>
    <w:rsid w:val="00EE4768"/>
    <w:rsid w:val="00EE4942"/>
    <w:rsid w:val="00EE50B2"/>
    <w:rsid w:val="00EE544E"/>
    <w:rsid w:val="00EF0A8B"/>
    <w:rsid w:val="00F00EF8"/>
    <w:rsid w:val="00F02559"/>
    <w:rsid w:val="00F0505F"/>
    <w:rsid w:val="00F05561"/>
    <w:rsid w:val="00F07016"/>
    <w:rsid w:val="00F0753B"/>
    <w:rsid w:val="00F1342F"/>
    <w:rsid w:val="00F13610"/>
    <w:rsid w:val="00F14163"/>
    <w:rsid w:val="00F151F7"/>
    <w:rsid w:val="00F15630"/>
    <w:rsid w:val="00F21D80"/>
    <w:rsid w:val="00F24776"/>
    <w:rsid w:val="00F26B7F"/>
    <w:rsid w:val="00F26CF4"/>
    <w:rsid w:val="00F274A3"/>
    <w:rsid w:val="00F27ADE"/>
    <w:rsid w:val="00F30F4C"/>
    <w:rsid w:val="00F311A1"/>
    <w:rsid w:val="00F32090"/>
    <w:rsid w:val="00F337A7"/>
    <w:rsid w:val="00F3546F"/>
    <w:rsid w:val="00F45927"/>
    <w:rsid w:val="00F46AA7"/>
    <w:rsid w:val="00F517EE"/>
    <w:rsid w:val="00F52BCA"/>
    <w:rsid w:val="00F55BDB"/>
    <w:rsid w:val="00F6114A"/>
    <w:rsid w:val="00F628E6"/>
    <w:rsid w:val="00F6668A"/>
    <w:rsid w:val="00F72D3C"/>
    <w:rsid w:val="00F7370C"/>
    <w:rsid w:val="00F760AC"/>
    <w:rsid w:val="00F76E2C"/>
    <w:rsid w:val="00F81C51"/>
    <w:rsid w:val="00F82B36"/>
    <w:rsid w:val="00F83409"/>
    <w:rsid w:val="00F84E67"/>
    <w:rsid w:val="00F86AA0"/>
    <w:rsid w:val="00F903DA"/>
    <w:rsid w:val="00F913EB"/>
    <w:rsid w:val="00F9666C"/>
    <w:rsid w:val="00F9720C"/>
    <w:rsid w:val="00F97573"/>
    <w:rsid w:val="00FA39BB"/>
    <w:rsid w:val="00FA4390"/>
    <w:rsid w:val="00FA5628"/>
    <w:rsid w:val="00FA5913"/>
    <w:rsid w:val="00FA6B77"/>
    <w:rsid w:val="00FA7059"/>
    <w:rsid w:val="00FB753C"/>
    <w:rsid w:val="00FC1FD9"/>
    <w:rsid w:val="00FC27FA"/>
    <w:rsid w:val="00FC34F7"/>
    <w:rsid w:val="00FC494C"/>
    <w:rsid w:val="00FC4E75"/>
    <w:rsid w:val="00FD0FEB"/>
    <w:rsid w:val="00FD1B1D"/>
    <w:rsid w:val="00FD2F87"/>
    <w:rsid w:val="00FD3CE8"/>
    <w:rsid w:val="00FD69CC"/>
    <w:rsid w:val="00FE1D84"/>
    <w:rsid w:val="00FE3684"/>
    <w:rsid w:val="00FE648D"/>
    <w:rsid w:val="00FF198B"/>
    <w:rsid w:val="00FF29EA"/>
    <w:rsid w:val="00FF51CC"/>
    <w:rsid w:val="00FF5268"/>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1E3BF54"/>
  <w15:chartTrackingRefBased/>
  <w15:docId w15:val="{71249281-671D-43B1-BDDC-6CA27256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es-ES"/>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ar2">
    <w:name w:val="Car Car2"/>
    <w:locked/>
    <w:rPr>
      <w:rFonts w:ascii="Arial" w:eastAsia="Times New Roman" w:hAnsi="Arial" w:cs="Arial"/>
      <w:b/>
      <w:bCs/>
      <w:sz w:val="24"/>
      <w:szCs w:val="24"/>
    </w:rPr>
  </w:style>
  <w:style w:type="paragraph" w:styleId="ListParagraph">
    <w:name w:val="List Paragraph"/>
    <w:basedOn w:val="Normal"/>
    <w:qFormat/>
    <w:pPr>
      <w:ind w:left="720"/>
      <w:contextualSpacing/>
    </w:pPr>
  </w:style>
  <w:style w:type="character" w:customStyle="1" w:styleId="CarCar1">
    <w:name w:val="Car Car1"/>
    <w:locked/>
    <w:rPr>
      <w:rFonts w:ascii="Arial" w:eastAsia="Times New Roman" w:hAnsi="Arial" w:cs="Times New Roman"/>
      <w:b/>
      <w:sz w:val="24"/>
      <w:szCs w:val="24"/>
    </w:rPr>
  </w:style>
  <w:style w:type="paragraph" w:styleId="Title">
    <w:name w:val="Title"/>
    <w:basedOn w:val="Normal"/>
    <w:qFormat/>
    <w:pPr>
      <w:jc w:val="center"/>
    </w:pPr>
    <w:rPr>
      <w:b/>
      <w:bCs/>
    </w:rPr>
  </w:style>
  <w:style w:type="character" w:customStyle="1" w:styleId="CarCar">
    <w:name w:val="Car Car"/>
    <w:locked/>
    <w:rPr>
      <w:rFonts w:ascii="Times New Roman" w:eastAsia="Times New Roman" w:hAnsi="Times New Roman" w:cs="Times New Roman"/>
      <w:b/>
      <w:bCs/>
      <w:sz w:val="24"/>
      <w:szCs w:val="24"/>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Header">
    <w:name w:val="header"/>
    <w:basedOn w:val="Normal"/>
    <w:link w:val="HeaderChar"/>
    <w:uiPriority w:val="99"/>
    <w:rsid w:val="00EF0A8B"/>
    <w:pPr>
      <w:tabs>
        <w:tab w:val="center" w:pos="4680"/>
        <w:tab w:val="right" w:pos="9360"/>
      </w:tabs>
    </w:pPr>
    <w:rPr>
      <w:lang w:val="x-none"/>
    </w:rPr>
  </w:style>
  <w:style w:type="character" w:customStyle="1" w:styleId="HeaderChar">
    <w:name w:val="Header Char"/>
    <w:link w:val="Header"/>
    <w:uiPriority w:val="99"/>
    <w:rsid w:val="00EF0A8B"/>
    <w:rPr>
      <w:snapToGrid w:val="0"/>
      <w:sz w:val="24"/>
      <w:szCs w:val="24"/>
      <w:lang w:eastAsia="es-ES"/>
    </w:rPr>
  </w:style>
  <w:style w:type="paragraph" w:styleId="Footer">
    <w:name w:val="footer"/>
    <w:basedOn w:val="Normal"/>
    <w:link w:val="FooterChar"/>
    <w:rsid w:val="00EF0A8B"/>
    <w:pPr>
      <w:tabs>
        <w:tab w:val="center" w:pos="4680"/>
        <w:tab w:val="right" w:pos="9360"/>
      </w:tabs>
    </w:pPr>
    <w:rPr>
      <w:lang w:val="x-none"/>
    </w:rPr>
  </w:style>
  <w:style w:type="character" w:customStyle="1" w:styleId="FooterChar">
    <w:name w:val="Footer Char"/>
    <w:link w:val="Footer"/>
    <w:rsid w:val="00EF0A8B"/>
    <w:rPr>
      <w:snapToGrid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1582</Words>
  <Characters>8499</Characters>
  <Application>Microsoft Office Word</Application>
  <DocSecurity>0</DocSecurity>
  <Lines>70</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vt:lpstr>
      <vt:lpstr>ST</vt:lpstr>
    </vt:vector>
  </TitlesOfParts>
  <Company>St Luke's Cornwall Hospital</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SLCHADMIN</dc:creator>
  <cp:keywords/>
  <cp:lastModifiedBy>Champagne, Kaitlyn</cp:lastModifiedBy>
  <cp:revision>7</cp:revision>
  <cp:lastPrinted>2019-03-01T17:18:00Z</cp:lastPrinted>
  <dcterms:created xsi:type="dcterms:W3CDTF">2019-03-01T16:53:00Z</dcterms:created>
  <dcterms:modified xsi:type="dcterms:W3CDTF">2020-10-06T17:05:00Z</dcterms:modified>
</cp:coreProperties>
</file>